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8edc607122ba43bf"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t>This is an author produced version of a paper </w:t>
        <w:t>published in : </w:t>
      </w:r>
      <w:r>
        <w:br/>
        <w:rPr>
          <w:i/>
          <w:t xml:space="preserve">Economic Modelling</w:t>
        </w:rPr>
      </w:r>
      <w:br/>
    </w:p>
    <w:p>
      <w:r>
        <w:t>Cronfa URL for this paper:</w:t>
        <w:br/>
      </w:r>
      <w:hyperlink w:history="true" r:id="R63719c34ee35473a">
        <w:proofErr w:type="gramStart"/>
        <w:r>
          <w:rPr>
            <w:color w:val="00FFFF" w:themeColor="accent1" w:themeShade="BF"/>
            <w:rStyle w:val="Hyperlink"/>
          </w:rPr>
          <w:t>http://cronfa.swan.ac.uk/Record/cronfa31847</w:t>
        </w:r>
      </w:hyperlink>
      <w:r>
        <w:br/>
      </w:r>
      <w:r>
        <w:t>_______________________________________________________________________</w:t>
      </w:r>
      <w:r>
        <w:br/>
      </w:r>
    </w:p>
    <w:p>
      <w:r>
        <w:rPr>
          <w:b/>
          <w:t>Paper:</w:t>
        </w:rPr>
        <w:br/>
      </w:r>
      <w:r>
        <w:rPr>
          <w:t>Kidd, M., O'Leary, N. &amp; Sloane, P.</w:t>
        </w:rPr>
      </w:r>
      <w:r>
        <w:t xml:space="preserve"> (2017). </w:t>
      </w:r>
      <w:r>
        <w:rPr>
          <w:t xml:space="preserve"> The impact of mobility on early career earnings: A quantile regression approach for UK graduates.</w:t>
        </w:rPr>
      </w:r>
      <w:r>
        <w:rPr>
          <w:i/>
          <w:t xml:space="preserve"> Economic Modelling, </w:t>
        </w:rPr>
      </w:r>
      <w:r>
        <w:rPr>
          <w:i/>
          <w:t xml:space="preserve">62</w:t>
        </w:rPr>
      </w:r>
      <w:r/>
      <w:r>
        <w:rPr>
          <w:t xml:space="preserve">90</w:t>
        </w:rPr>
      </w:r>
      <w:r>
        <w:rPr>
          <w:t xml:space="preserve">-102.</w:t>
        </w:rPr>
      </w:r>
    </w:p>
    <w:p>
      <w:hyperlink w:history="true" r:id="R91c08022e9df412b">
        <w:proofErr w:type="gramStart"/>
        <w:r>
          <w:rPr>
            <w:color w:val="00FFFF" w:themeColor="accent1" w:themeShade="BF"/>
            <w:rStyle w:val="Hyperlink"/>
          </w:rPr>
          <w:b/>
          <w:t>http://dx.doi.org/10.1016/j.econmod.2017.01.011</w:t>
        </w:r>
      </w:hyperlink>
      <w:br/>
    </w:p>
    <w:p>
      <w:br/>
      <w:br/>
      <w:br/>
      <w:r>
        <w:t>_______________________________________________________________________</w:t>
      </w:r>
      <w:r>
        <w:br/>
        <w:br/>
        <w:t>This article is brought to you by Swansea University. Any person downloading material is agreeing to abide by the terms of the repository licence. Authors are personally responsible for adhering to publisher restrictions or conditions. When uploading content they are required to comply with their publisher agreement and the SHERPA RoMEO database to judge whether or not it is copyright safe to add this version of the paper to this repository. </w:t>
      </w:r>
    </w:p>
    <w:p>
      <w:r/>
      <w:hyperlink w:history="true" r:id="R55bd88bb7963455f">
        <w:proofErr w:type="gramStart"/>
        <w:r>
          <w:rPr>
            <w:color w:val="00FFFF" w:themeColor="accent1" w:themeShade="BF"/>
            <w:rStyle w:val="Hyperlink"/>
          </w:rPr>
          <w:t>http://www.swansea.ac.uk/iss/researchsupport/cronfa-support/</w:t>
        </w:r>
      </w:hyperlink>
      <w:br w:type="page"/>
    </w:p>
    <w:p w:rsidR="002903CD" w:rsidP="002903CD" w:rsidRDefault="002903CD">
      <w:pPr>
        <w:spacing w:after="0" w:line="240" w:lineRule="auto"/>
        <w:jc w:val="center"/>
        <w:outlineLvl w:val="0"/>
        <w:rPr>
          <w:b/>
        </w:rPr>
      </w:pPr>
      <w:r>
        <w:rPr>
          <w:b/>
        </w:rPr>
        <w:t>The Impact of Mobility on Early Career Earnings</w:t>
      </w:r>
      <w:r w:rsidR="00CB2D35">
        <w:rPr>
          <w:b/>
        </w:rPr>
        <w:t>:</w:t>
      </w:r>
    </w:p>
    <w:p w:rsidR="002903CD" w:rsidP="002903CD" w:rsidRDefault="002903CD">
      <w:pPr>
        <w:spacing w:after="0" w:line="240" w:lineRule="auto"/>
        <w:jc w:val="center"/>
        <w:outlineLvl w:val="0"/>
        <w:rPr>
          <w:b/>
        </w:rPr>
      </w:pPr>
      <w:r>
        <w:rPr>
          <w:b/>
        </w:rPr>
        <w:t>A Quantile Regression Approach</w:t>
      </w:r>
      <w:r w:rsidR="006D16CF">
        <w:rPr>
          <w:b/>
        </w:rPr>
        <w:t xml:space="preserve"> for UK Graduates</w:t>
      </w:r>
    </w:p>
    <w:p w:rsidR="00730735" w:rsidP="002D7029" w:rsidRDefault="00730735">
      <w:pPr>
        <w:spacing w:after="0" w:line="240" w:lineRule="auto"/>
        <w:jc w:val="center"/>
        <w:rPr>
          <w:b/>
        </w:rPr>
      </w:pPr>
    </w:p>
    <w:p w:rsidR="00AC7326" w:rsidP="00AC7326" w:rsidRDefault="00AC7326">
      <w:pPr>
        <w:spacing w:after="0" w:line="240" w:lineRule="auto"/>
      </w:pPr>
    </w:p>
    <w:p w:rsidR="00AC7326" w:rsidP="00AC7326" w:rsidRDefault="00AC7326">
      <w:pPr>
        <w:spacing w:after="0" w:line="240" w:lineRule="auto"/>
        <w:jc w:val="center"/>
      </w:pPr>
      <w:r>
        <w:t>Michael P Kidd</w:t>
      </w:r>
    </w:p>
    <w:p w:rsidR="00AC7326" w:rsidP="00AC7326" w:rsidRDefault="00AC7326">
      <w:pPr>
        <w:spacing w:after="0" w:line="240" w:lineRule="auto"/>
        <w:jc w:val="center"/>
      </w:pPr>
      <w:r>
        <w:t>Royal Melbourne Institute of Technology</w:t>
      </w:r>
    </w:p>
    <w:p w:rsidR="00AC7326" w:rsidP="00AC7326" w:rsidRDefault="00AC7326">
      <w:pPr>
        <w:spacing w:after="0" w:line="240" w:lineRule="auto"/>
        <w:jc w:val="center"/>
      </w:pPr>
      <w:r>
        <w:t>Melbourne, Australia</w:t>
      </w:r>
    </w:p>
    <w:p w:rsidR="00AC7326" w:rsidP="00AC7326" w:rsidRDefault="00AC7326">
      <w:pPr>
        <w:spacing w:after="0" w:line="240" w:lineRule="auto"/>
        <w:jc w:val="center"/>
      </w:pPr>
      <w:r>
        <w:t>Email: michael.kidd@rmit.edu.au</w:t>
      </w:r>
    </w:p>
    <w:p w:rsidR="00AC7326" w:rsidP="00AC7326" w:rsidRDefault="00AC7326">
      <w:pPr>
        <w:spacing w:after="0" w:line="240" w:lineRule="auto"/>
        <w:jc w:val="center"/>
      </w:pPr>
    </w:p>
    <w:p w:rsidR="00AC7326" w:rsidP="00AC7326" w:rsidRDefault="00AC7326">
      <w:pPr>
        <w:spacing w:after="0" w:line="240" w:lineRule="auto"/>
        <w:jc w:val="center"/>
      </w:pPr>
      <w:r>
        <w:t>Nigel O’Leary</w:t>
      </w:r>
      <w:r>
        <w:rPr>
          <w:vertAlign w:val="superscript"/>
        </w:rPr>
        <w:t>+</w:t>
      </w:r>
    </w:p>
    <w:p w:rsidR="00AC7326" w:rsidP="00AC7326" w:rsidRDefault="00AC7326">
      <w:pPr>
        <w:spacing w:after="0" w:line="240" w:lineRule="auto"/>
        <w:jc w:val="center"/>
        <w:rPr>
          <w:lang w:val="fr-FR"/>
        </w:rPr>
      </w:pPr>
      <w:r w:rsidRPr="00AC7326">
        <w:t xml:space="preserve">Swansea University, NILS. </w:t>
      </w:r>
      <w:r>
        <w:rPr>
          <w:lang w:val="fr-FR"/>
        </w:rPr>
        <w:t>SERC, WISERD</w:t>
      </w:r>
    </w:p>
    <w:p w:rsidR="00AC7326" w:rsidP="00AC7326" w:rsidRDefault="00AC7326">
      <w:pPr>
        <w:spacing w:after="0" w:line="240" w:lineRule="auto"/>
        <w:jc w:val="center"/>
        <w:rPr>
          <w:lang w:val="fr-FR"/>
        </w:rPr>
      </w:pPr>
      <w:r>
        <w:rPr>
          <w:lang w:val="fr-FR"/>
        </w:rPr>
        <w:t>Swansea, UK SA1 8EN</w:t>
      </w:r>
    </w:p>
    <w:p w:rsidR="00AC7326" w:rsidP="00AC7326" w:rsidRDefault="00AC7326">
      <w:pPr>
        <w:spacing w:after="0" w:line="240" w:lineRule="auto"/>
        <w:jc w:val="center"/>
        <w:rPr>
          <w:lang w:val="fr-FR"/>
        </w:rPr>
      </w:pPr>
      <w:r>
        <w:rPr>
          <w:lang w:val="fr-FR"/>
        </w:rPr>
        <w:t>Email: n.c.oleary@swansea.ac.uk</w:t>
      </w:r>
    </w:p>
    <w:p w:rsidR="00AC7326" w:rsidP="00AC7326" w:rsidRDefault="00AC7326">
      <w:pPr>
        <w:spacing w:after="0" w:line="240" w:lineRule="auto"/>
        <w:rPr>
          <w:lang w:val="fr-FR"/>
        </w:rPr>
      </w:pPr>
    </w:p>
    <w:p w:rsidRPr="00AC7326" w:rsidR="00AC7326" w:rsidP="00AC7326" w:rsidRDefault="00AC7326">
      <w:pPr>
        <w:spacing w:after="0" w:line="240" w:lineRule="auto"/>
        <w:jc w:val="center"/>
        <w:rPr>
          <w:lang w:val="fr-FR"/>
        </w:rPr>
      </w:pPr>
      <w:r w:rsidRPr="00AC7326">
        <w:rPr>
          <w:lang w:val="fr-FR"/>
        </w:rPr>
        <w:t>Peter Sloane</w:t>
      </w:r>
    </w:p>
    <w:p w:rsidRPr="00AC7326" w:rsidR="00AC7326" w:rsidP="00AC7326" w:rsidRDefault="00AC7326">
      <w:pPr>
        <w:spacing w:after="0" w:line="240" w:lineRule="auto"/>
        <w:jc w:val="center"/>
        <w:rPr>
          <w:lang w:val="fr-FR"/>
        </w:rPr>
      </w:pPr>
      <w:r w:rsidRPr="00AC7326">
        <w:rPr>
          <w:lang w:val="fr-FR"/>
        </w:rPr>
        <w:t>Swansea University, NILS, IZA</w:t>
      </w:r>
    </w:p>
    <w:p w:rsidR="00AC7326" w:rsidP="00AC7326" w:rsidRDefault="00AC7326">
      <w:pPr>
        <w:spacing w:after="0" w:line="240" w:lineRule="auto"/>
        <w:jc w:val="center"/>
        <w:rPr>
          <w:lang w:val="fr-FR"/>
        </w:rPr>
      </w:pPr>
      <w:r>
        <w:rPr>
          <w:lang w:val="fr-FR"/>
        </w:rPr>
        <w:t>Swansea, UK SA1 8EN</w:t>
      </w:r>
    </w:p>
    <w:p w:rsidRPr="00AC7326" w:rsidR="00AC7326" w:rsidP="00AC7326" w:rsidRDefault="00AC7326">
      <w:pPr>
        <w:spacing w:after="0" w:line="240" w:lineRule="auto"/>
        <w:jc w:val="center"/>
      </w:pPr>
      <w:r w:rsidRPr="00AC7326">
        <w:t>Email: p.j.sloane@swansea.ac.uk</w:t>
      </w:r>
    </w:p>
    <w:p w:rsidRPr="00AC7326" w:rsidR="00AC7326" w:rsidP="00AC7326" w:rsidRDefault="00AC7326">
      <w:pPr>
        <w:spacing w:after="0" w:line="240" w:lineRule="auto"/>
      </w:pPr>
    </w:p>
    <w:p w:rsidR="00AC7326" w:rsidP="00AC7326" w:rsidRDefault="00AC7326">
      <w:pPr>
        <w:spacing w:after="0" w:line="240" w:lineRule="auto"/>
      </w:pPr>
      <w:r>
        <w:rPr>
          <w:vertAlign w:val="superscript"/>
        </w:rPr>
        <w:t>+</w:t>
      </w:r>
      <w:r>
        <w:t xml:space="preserve"> corresponding author</w:t>
      </w:r>
    </w:p>
    <w:p w:rsidR="000C0B5A" w:rsidP="002D7029" w:rsidRDefault="000C0B5A">
      <w:pPr>
        <w:spacing w:after="0" w:line="240" w:lineRule="auto"/>
      </w:pPr>
      <w:bookmarkStart w:name="_GoBack" w:id="0"/>
      <w:bookmarkEnd w:id="0"/>
    </w:p>
    <w:p w:rsidR="00140B45" w:rsidP="00C25766" w:rsidRDefault="005B192F">
      <w:pPr>
        <w:spacing w:after="0" w:line="240" w:lineRule="auto"/>
      </w:pPr>
      <w:r w:rsidRPr="00EC0327">
        <w:rPr>
          <w:b/>
        </w:rPr>
        <w:t>Abstract</w:t>
      </w:r>
    </w:p>
    <w:p w:rsidRPr="00AB1E8C" w:rsidR="005B192F" w:rsidP="005B192F" w:rsidRDefault="005B192F">
      <w:pPr>
        <w:spacing w:after="0" w:line="240" w:lineRule="auto"/>
        <w:jc w:val="both"/>
      </w:pPr>
      <w:r>
        <w:t>This paper uses HESA data from the Destination of Leavers</w:t>
      </w:r>
      <w:r w:rsidR="004B279A">
        <w:t xml:space="preserve"> from</w:t>
      </w:r>
      <w:r w:rsidR="00BA3024">
        <w:t xml:space="preserve"> Higher Education survey 2002/03</w:t>
      </w:r>
      <w:r>
        <w:t xml:space="preserve"> to examine whether more mobile students </w:t>
      </w:r>
      <w:r w:rsidR="000A149C">
        <w:t xml:space="preserve">have an earnings advantage over those who are less mobile. We define mobility </w:t>
      </w:r>
      <w:r>
        <w:t xml:space="preserve">in terms of </w:t>
      </w:r>
      <w:r w:rsidR="00F83748">
        <w:t xml:space="preserve">both </w:t>
      </w:r>
      <w:r>
        <w:t>choice of institution and location of employment</w:t>
      </w:r>
      <w:r w:rsidR="00F83748">
        <w:t>. A</w:t>
      </w:r>
      <w:r w:rsidR="000A149C">
        <w:t xml:space="preserve"> </w:t>
      </w:r>
      <w:r>
        <w:t xml:space="preserve">clear finding </w:t>
      </w:r>
      <w:r w:rsidR="000A149C">
        <w:t xml:space="preserve">that emerges is </w:t>
      </w:r>
      <w:r>
        <w:t>that mobility is associated with superior earnings outcomes, principally through students extending their job search</w:t>
      </w:r>
      <w:r w:rsidRPr="00CD79D3" w:rsidR="00CD79D3">
        <w:t xml:space="preserve"> </w:t>
      </w:r>
      <w:r w:rsidR="00CD79D3">
        <w:t>horizon</w:t>
      </w:r>
      <w:r>
        <w:t xml:space="preserve">. </w:t>
      </w:r>
      <w:r w:rsidR="00F83748">
        <w:t>Our</w:t>
      </w:r>
      <w:r w:rsidR="000A149C">
        <w:t xml:space="preserve"> analysis </w:t>
      </w:r>
      <w:r w:rsidR="00F83748">
        <w:t xml:space="preserve">examines the entire </w:t>
      </w:r>
      <w:r w:rsidR="009C4472">
        <w:t>earnings distribution</w:t>
      </w:r>
      <w:r w:rsidR="000A149C">
        <w:t xml:space="preserve"> </w:t>
      </w:r>
      <w:r w:rsidR="00F83748">
        <w:t>rather than</w:t>
      </w:r>
      <w:r w:rsidR="000A149C">
        <w:t xml:space="preserve"> </w:t>
      </w:r>
      <w:r w:rsidR="00CD79D3">
        <w:t xml:space="preserve">focussing solely </w:t>
      </w:r>
      <w:r w:rsidR="000A149C">
        <w:t xml:space="preserve">upon </w:t>
      </w:r>
      <w:r w:rsidR="00CD79D3">
        <w:t>the mean</w:t>
      </w:r>
      <w:r w:rsidR="000A149C">
        <w:t>, as in common in much of the existing literature</w:t>
      </w:r>
      <w:r w:rsidR="008B5C22">
        <w:t xml:space="preserve">. </w:t>
      </w:r>
      <w:r w:rsidR="00F83748">
        <w:t xml:space="preserve">This </w:t>
      </w:r>
      <w:r w:rsidR="009C4472">
        <w:t xml:space="preserve">will </w:t>
      </w:r>
      <w:r w:rsidR="00F83748">
        <w:t>provide a much clearer</w:t>
      </w:r>
      <w:r w:rsidR="009C4472">
        <w:t xml:space="preserve"> picture as to the true effect of mobility on earnings.</w:t>
      </w:r>
      <w:r w:rsidR="000A149C">
        <w:t xml:space="preserve"> We also confirm, via bivariate probit analysis, that there is a positive</w:t>
      </w:r>
      <w:r w:rsidR="009C4472">
        <w:t xml:space="preserve"> </w:t>
      </w:r>
      <w:r w:rsidR="00AD55A3">
        <w:t xml:space="preserve">correlation </w:t>
      </w:r>
      <w:r>
        <w:t xml:space="preserve">between </w:t>
      </w:r>
      <w:r w:rsidR="00140B45">
        <w:t xml:space="preserve">individual </w:t>
      </w:r>
      <w:r>
        <w:t xml:space="preserve">mobility </w:t>
      </w:r>
      <w:r w:rsidR="00140B45">
        <w:t xml:space="preserve">decisions </w:t>
      </w:r>
      <w:r w:rsidR="00CD79D3">
        <w:t xml:space="preserve">with regard to </w:t>
      </w:r>
      <w:r>
        <w:t xml:space="preserve">the </w:t>
      </w:r>
      <w:r w:rsidR="00CD79D3">
        <w:t xml:space="preserve">location </w:t>
      </w:r>
      <w:r>
        <w:t xml:space="preserve">of university </w:t>
      </w:r>
      <w:r w:rsidR="000A149C">
        <w:t>attended and location of employment.</w:t>
      </w:r>
      <w:r w:rsidR="004C5101">
        <w:t xml:space="preserve"> There are important policy implications resulting from these findings</w:t>
      </w:r>
      <w:r w:rsidR="00A24BAA">
        <w:t xml:space="preserve">. </w:t>
      </w:r>
      <w:r w:rsidR="004C5101">
        <w:t>If raising studen</w:t>
      </w:r>
      <w:r w:rsidR="00A24BAA">
        <w:t xml:space="preserve">t fees or </w:t>
      </w:r>
      <w:r w:rsidR="00AD55A3">
        <w:t xml:space="preserve">associated </w:t>
      </w:r>
      <w:r w:rsidR="00A24BAA">
        <w:t>living costs reduces mobility</w:t>
      </w:r>
      <w:r w:rsidR="000A149C">
        <w:t xml:space="preserve">, for example </w:t>
      </w:r>
      <w:r w:rsidR="004C5101">
        <w:t xml:space="preserve">through </w:t>
      </w:r>
      <w:r w:rsidR="00AD55A3">
        <w:t xml:space="preserve">choosing to live </w:t>
      </w:r>
      <w:r w:rsidR="004C5101">
        <w:t>at home</w:t>
      </w:r>
      <w:r w:rsidR="00140B45">
        <w:t>,</w:t>
      </w:r>
      <w:r w:rsidR="004C5101">
        <w:t xml:space="preserve"> this may </w:t>
      </w:r>
      <w:r w:rsidR="000D7015">
        <w:t>affect</w:t>
      </w:r>
      <w:r w:rsidR="004C5101">
        <w:t xml:space="preserve"> future earni</w:t>
      </w:r>
      <w:r w:rsidR="00A24BAA">
        <w:t>ngs</w:t>
      </w:r>
      <w:r w:rsidR="00AD55A3">
        <w:t xml:space="preserve"> </w:t>
      </w:r>
      <w:r w:rsidR="000A149C">
        <w:t xml:space="preserve">with </w:t>
      </w:r>
      <w:r w:rsidR="00AD55A3">
        <w:t>consequent impact on loan</w:t>
      </w:r>
      <w:r w:rsidR="00A24BAA">
        <w:t xml:space="preserve"> repayment</w:t>
      </w:r>
      <w:r w:rsidR="00AD55A3">
        <w:t>s</w:t>
      </w:r>
      <w:r w:rsidR="00344300">
        <w:t>.</w:t>
      </w:r>
      <w:r w:rsidR="007E68EC">
        <w:t xml:space="preserve"> Alternatively, any subsidies </w:t>
      </w:r>
      <w:r w:rsidR="00AD55A3">
        <w:t xml:space="preserve">provided by </w:t>
      </w:r>
      <w:r w:rsidR="007E68EC">
        <w:t xml:space="preserve">the Scottish and Welsh governments for </w:t>
      </w:r>
      <w:r w:rsidR="00AD55A3">
        <w:t xml:space="preserve">local </w:t>
      </w:r>
      <w:r w:rsidR="007E68EC">
        <w:t>students may not help their own economies given the incentive for students to leave their country of origin</w:t>
      </w:r>
      <w:r w:rsidR="000D7015">
        <w:t xml:space="preserve"> post-study</w:t>
      </w:r>
      <w:r w:rsidR="007E68EC">
        <w:t xml:space="preserve"> to increase their potential earnings.</w:t>
      </w:r>
    </w:p>
    <w:p w:rsidR="005B192F" w:rsidP="005B192F" w:rsidRDefault="005B192F">
      <w:pPr>
        <w:spacing w:after="0" w:line="240" w:lineRule="auto"/>
        <w:jc w:val="center"/>
      </w:pPr>
    </w:p>
    <w:p w:rsidRPr="00647BA7" w:rsidR="00647BA7" w:rsidP="00647BA7" w:rsidRDefault="00647BA7">
      <w:pPr>
        <w:spacing w:after="0" w:line="240" w:lineRule="auto"/>
        <w:rPr>
          <w:b/>
        </w:rPr>
      </w:pPr>
      <w:r w:rsidRPr="00647BA7">
        <w:rPr>
          <w:b/>
        </w:rPr>
        <w:t>Keywords</w:t>
      </w:r>
    </w:p>
    <w:p w:rsidR="005B192F" w:rsidP="00647BA7" w:rsidRDefault="00647BA7">
      <w:pPr>
        <w:spacing w:after="0" w:line="240" w:lineRule="auto"/>
      </w:pPr>
      <w:r>
        <w:t xml:space="preserve">labour economics; graduates; earnings premium; mobility; quantile regression </w:t>
      </w:r>
    </w:p>
    <w:p w:rsidR="005B192F" w:rsidP="005B192F" w:rsidRDefault="005B192F">
      <w:pPr>
        <w:spacing w:after="0" w:line="240" w:lineRule="auto"/>
        <w:jc w:val="center"/>
      </w:pPr>
    </w:p>
    <w:p w:rsidRPr="002C1EC3" w:rsidR="000C0B5A" w:rsidP="000C0B5A" w:rsidRDefault="000C0B5A">
      <w:pPr>
        <w:spacing w:after="0" w:line="240" w:lineRule="auto"/>
        <w:rPr>
          <w:b/>
        </w:rPr>
      </w:pPr>
      <w:r w:rsidRPr="002C1EC3">
        <w:rPr>
          <w:b/>
        </w:rPr>
        <w:t>JEL Codes</w:t>
      </w:r>
    </w:p>
    <w:p w:rsidR="000C0B5A" w:rsidP="00C25766" w:rsidRDefault="000C0B5A">
      <w:pPr>
        <w:spacing w:after="0" w:line="240" w:lineRule="auto"/>
      </w:pPr>
      <w:r>
        <w:t>J24, J31</w:t>
      </w:r>
    </w:p>
    <w:p w:rsidR="005B192F" w:rsidP="005B192F" w:rsidRDefault="005B192F">
      <w:pPr>
        <w:spacing w:after="0" w:line="240" w:lineRule="auto"/>
        <w:jc w:val="center"/>
      </w:pPr>
    </w:p>
    <w:p w:rsidR="005B192F" w:rsidP="005B192F" w:rsidRDefault="005B192F">
      <w:pPr>
        <w:spacing w:after="0" w:line="240" w:lineRule="auto"/>
      </w:pPr>
    </w:p>
    <w:p w:rsidRPr="00F42C25" w:rsidR="005B192F" w:rsidP="005B192F" w:rsidRDefault="005B192F">
      <w:pPr>
        <w:spacing w:after="0" w:line="240" w:lineRule="auto"/>
        <w:rPr>
          <w:b/>
        </w:rPr>
      </w:pPr>
      <w:r w:rsidRPr="00F42C25">
        <w:rPr>
          <w:b/>
        </w:rPr>
        <w:t>Acknowledgements</w:t>
      </w:r>
    </w:p>
    <w:p w:rsidR="0017259D" w:rsidP="00336030" w:rsidRDefault="005B192F">
      <w:pPr>
        <w:spacing w:after="0" w:line="240" w:lineRule="auto"/>
        <w:jc w:val="both"/>
      </w:pPr>
      <w:r>
        <w:t xml:space="preserve">The DLHE data was made available from the Higher Education Statistics Agency through the Welsh Government, although neither bears responsibility for the analysis or interpretation of the data reported here. Financial support from the ESRC (grant no: </w:t>
      </w:r>
      <w:r w:rsidR="00D502D4">
        <w:t xml:space="preserve">ES/L009099/1 and </w:t>
      </w:r>
      <w:r>
        <w:t>RES-591-28-000</w:t>
      </w:r>
      <w:r w:rsidR="00D502D4">
        <w:t>1</w:t>
      </w:r>
      <w:r>
        <w:t>) is gratefull</w:t>
      </w:r>
      <w:r w:rsidR="007134EA">
        <w:t>y acknowledged</w:t>
      </w:r>
      <w:r w:rsidR="007B4295">
        <w:t xml:space="preserve"> by </w:t>
      </w:r>
      <w:r w:rsidR="00C9547E">
        <w:t>O’Leary</w:t>
      </w:r>
      <w:r>
        <w:t>.</w:t>
      </w:r>
      <w:r w:rsidR="0089203A">
        <w:t xml:space="preserve"> </w:t>
      </w:r>
      <w:r w:rsidR="007E68EC">
        <w:t xml:space="preserve">We are also grateful to the editor and three </w:t>
      </w:r>
      <w:r w:rsidR="0017259D">
        <w:t xml:space="preserve">anonymous </w:t>
      </w:r>
      <w:r w:rsidR="007E68EC">
        <w:t>referees for helpful comment</w:t>
      </w:r>
      <w:r w:rsidR="005F6A79">
        <w:t>s</w:t>
      </w:r>
      <w:r w:rsidR="0017259D">
        <w:t>.</w:t>
      </w:r>
    </w:p>
    <w:p w:rsidR="005B192F" w:rsidP="00336030" w:rsidRDefault="005B192F">
      <w:pPr>
        <w:spacing w:after="0" w:line="240" w:lineRule="auto"/>
        <w:jc w:val="both"/>
        <w:sectPr w:rsidR="005B192F" w:rsidSect="00CD0D82">
          <w:footerReference w:type="default" r:id="rId8"/>
          <w:endnotePr>
            <w:numFmt w:val="decimal"/>
          </w:endnotePr>
          <w:pgSz w:w="11906" w:h="16838"/>
          <w:pgMar w:top="1440" w:right="1440" w:bottom="1440" w:left="1440" w:header="708" w:footer="708" w:gutter="0"/>
          <w:cols w:space="708"/>
          <w:docGrid w:linePitch="360"/>
        </w:sectPr>
      </w:pPr>
    </w:p>
    <w:p w:rsidRPr="002845F8" w:rsidR="00A97174" w:rsidP="002845F8" w:rsidRDefault="002845F8">
      <w:pPr>
        <w:spacing w:after="0" w:line="360" w:lineRule="auto"/>
        <w:jc w:val="both"/>
        <w:outlineLvl w:val="0"/>
        <w:rPr>
          <w:b/>
        </w:rPr>
      </w:pPr>
      <w:r w:rsidRPr="002845F8">
        <w:rPr>
          <w:b/>
        </w:rPr>
        <w:lastRenderedPageBreak/>
        <w:t>1.</w:t>
      </w:r>
      <w:r>
        <w:rPr>
          <w:b/>
        </w:rPr>
        <w:tab/>
      </w:r>
      <w:r w:rsidRPr="002845F8" w:rsidR="00730735">
        <w:rPr>
          <w:b/>
        </w:rPr>
        <w:t>Introduction</w:t>
      </w:r>
    </w:p>
    <w:p w:rsidR="00AD55A3" w:rsidP="00466037" w:rsidRDefault="004811A3">
      <w:pPr>
        <w:spacing w:after="0" w:line="360" w:lineRule="auto"/>
        <w:jc w:val="both"/>
      </w:pPr>
      <w:r>
        <w:t xml:space="preserve">Graduate earnings and mobility </w:t>
      </w:r>
      <w:r w:rsidR="007070F8">
        <w:t xml:space="preserve">are two topics of widespread interest. </w:t>
      </w:r>
      <w:r w:rsidR="00CE4C67">
        <w:t xml:space="preserve">There is a diverse literature examining wage </w:t>
      </w:r>
      <w:r w:rsidR="00925581">
        <w:t xml:space="preserve">premia </w:t>
      </w:r>
      <w:r w:rsidR="00CE4C67">
        <w:t xml:space="preserve">for </w:t>
      </w:r>
      <w:r w:rsidR="00C00E73">
        <w:t xml:space="preserve">university graduates, including </w:t>
      </w:r>
      <w:r w:rsidR="007D6327">
        <w:t xml:space="preserve">analysis of </w:t>
      </w:r>
      <w:r w:rsidR="00C00E73">
        <w:t xml:space="preserve">differential returns for field of study as well as social versus </w:t>
      </w:r>
      <w:r w:rsidR="00B77CA5">
        <w:t>private</w:t>
      </w:r>
      <w:r w:rsidR="00C00E73">
        <w:t xml:space="preserve"> returns.</w:t>
      </w:r>
      <w:r w:rsidR="005121B5">
        <w:rPr>
          <w:rStyle w:val="EndnoteReference"/>
        </w:rPr>
        <w:endnoteReference w:id="1"/>
      </w:r>
      <w:r w:rsidR="00CE4C67">
        <w:t xml:space="preserve"> </w:t>
      </w:r>
      <w:r w:rsidR="007E0A06">
        <w:t>More broadly, education and human capital skills are seen as a major determinant of economic growth</w:t>
      </w:r>
      <w:r w:rsidR="00925581">
        <w:t xml:space="preserve"> at the macro level</w:t>
      </w:r>
      <w:r w:rsidR="008B37C1">
        <w:t>.</w:t>
      </w:r>
      <w:r w:rsidR="00085D22">
        <w:t xml:space="preserve"> </w:t>
      </w:r>
      <w:r w:rsidR="008B37C1">
        <w:t>S</w:t>
      </w:r>
      <w:r w:rsidR="00B64842">
        <w:t xml:space="preserve">ee for example </w:t>
      </w:r>
      <w:r w:rsidRPr="00C25766" w:rsidR="00396A51">
        <w:rPr>
          <w:rFonts w:eastAsia="Arial Unicode MS" w:cs="Arial Unicode MS"/>
          <w:color w:val="252525"/>
          <w:lang w:val="en-AU" w:eastAsia="en-AU"/>
        </w:rPr>
        <w:t>Fougère</w:t>
      </w:r>
      <w:r w:rsidRPr="006D1B95" w:rsidR="00396A51">
        <w:t xml:space="preserve"> et al</w:t>
      </w:r>
      <w:r w:rsidRPr="00085D22" w:rsidR="00BA7BEC">
        <w:t>.</w:t>
      </w:r>
      <w:r w:rsidR="00085D22">
        <w:t xml:space="preserve"> </w:t>
      </w:r>
      <w:r w:rsidR="00E36BE8">
        <w:t>(</w:t>
      </w:r>
      <w:r w:rsidRPr="00085D22" w:rsidR="00396A51">
        <w:t>1999) which examines the link between human capital a</w:t>
      </w:r>
      <w:r w:rsidRPr="00085D22" w:rsidR="00E25803">
        <w:t>n</w:t>
      </w:r>
      <w:r w:rsidRPr="00085D22" w:rsidR="00396A51">
        <w:t>d growth in an overlapping</w:t>
      </w:r>
      <w:r w:rsidR="00396A51">
        <w:t xml:space="preserve"> generations model with endogenous growth. A</w:t>
      </w:r>
      <w:r w:rsidR="00925581">
        <w:t>t the micro level graduate placement and mobility</w:t>
      </w:r>
      <w:r w:rsidR="00EB3928">
        <w:t xml:space="preserve"> are </w:t>
      </w:r>
      <w:r w:rsidR="00AD55A3">
        <w:t xml:space="preserve">seen as </w:t>
      </w:r>
      <w:r w:rsidR="00EB3928">
        <w:t>key determinants of</w:t>
      </w:r>
      <w:r w:rsidR="00925581">
        <w:t xml:space="preserve"> </w:t>
      </w:r>
      <w:r w:rsidR="00603598">
        <w:t>regional development</w:t>
      </w:r>
      <w:r w:rsidR="00085D22">
        <w:t xml:space="preserve"> (</w:t>
      </w:r>
      <w:r w:rsidR="00AD55A3">
        <w:t xml:space="preserve">see </w:t>
      </w:r>
      <w:r w:rsidR="00396A51">
        <w:t>Shindo</w:t>
      </w:r>
      <w:r w:rsidR="00085D22">
        <w:t xml:space="preserve">, </w:t>
      </w:r>
      <w:r w:rsidR="00396A51">
        <w:t xml:space="preserve">2010 </w:t>
      </w:r>
      <w:r w:rsidR="00AD55A3">
        <w:t xml:space="preserve">for an analysis of </w:t>
      </w:r>
      <w:r w:rsidR="00396A51">
        <w:t>the impact of education subsidies on regional economic growth</w:t>
      </w:r>
      <w:r w:rsidR="00085D22">
        <w:t>)</w:t>
      </w:r>
      <w:r w:rsidR="00396A51">
        <w:t xml:space="preserve">. </w:t>
      </w:r>
    </w:p>
    <w:p w:rsidR="00AD55A3" w:rsidP="00466037" w:rsidRDefault="00AD55A3">
      <w:pPr>
        <w:spacing w:after="0" w:line="360" w:lineRule="auto"/>
        <w:jc w:val="both"/>
      </w:pPr>
    </w:p>
    <w:p w:rsidR="00466037" w:rsidP="00466037" w:rsidRDefault="00E51C93">
      <w:pPr>
        <w:spacing w:after="0" w:line="360" w:lineRule="auto"/>
        <w:jc w:val="both"/>
      </w:pPr>
      <w:r>
        <w:t>The current paper</w:t>
      </w:r>
      <w:r w:rsidR="005C2225">
        <w:t xml:space="preserve"> combines </w:t>
      </w:r>
      <w:r w:rsidR="00EB3928">
        <w:t xml:space="preserve">these </w:t>
      </w:r>
      <w:r w:rsidR="005C2225">
        <w:t xml:space="preserve">two major themes </w:t>
      </w:r>
      <w:r w:rsidR="00794C6C">
        <w:t xml:space="preserve">by </w:t>
      </w:r>
      <w:r w:rsidR="005C2225">
        <w:t xml:space="preserve">examining the impact of graduate mobility on </w:t>
      </w:r>
      <w:r w:rsidR="00E546BD">
        <w:t xml:space="preserve">the </w:t>
      </w:r>
      <w:r w:rsidR="005C2225">
        <w:t xml:space="preserve">individual </w:t>
      </w:r>
      <w:r w:rsidR="00DE77E2">
        <w:t xml:space="preserve">wage </w:t>
      </w:r>
      <w:r w:rsidR="00E546BD">
        <w:t>premium</w:t>
      </w:r>
      <w:r w:rsidR="00DE77E2">
        <w:t xml:space="preserve">. </w:t>
      </w:r>
      <w:r w:rsidR="009A4C51">
        <w:t>Although the literature examining the two themes</w:t>
      </w:r>
      <w:r w:rsidR="008C1211">
        <w:t xml:space="preserve"> separately </w:t>
      </w:r>
      <w:r w:rsidR="00140B45">
        <w:t>is</w:t>
      </w:r>
      <w:r w:rsidR="008C1211">
        <w:t xml:space="preserve"> well developed,</w:t>
      </w:r>
      <w:r w:rsidR="009A4C51">
        <w:t xml:space="preserve"> </w:t>
      </w:r>
      <w:r w:rsidR="008C1211">
        <w:t>t</w:t>
      </w:r>
      <w:r w:rsidRPr="009B2692" w:rsidR="009A4C51">
        <w:rPr>
          <w:color w:val="000000" w:themeColor="text1"/>
        </w:rPr>
        <w:t>h</w:t>
      </w:r>
      <w:r w:rsidR="00B77CA5">
        <w:rPr>
          <w:color w:val="000000" w:themeColor="text1"/>
        </w:rPr>
        <w:t>at</w:t>
      </w:r>
      <w:r w:rsidR="008C1211">
        <w:rPr>
          <w:color w:val="000000" w:themeColor="text1"/>
        </w:rPr>
        <w:t xml:space="preserve"> linking the two </w:t>
      </w:r>
      <w:r w:rsidRPr="009B2692" w:rsidR="009A4C51">
        <w:rPr>
          <w:color w:val="000000" w:themeColor="text1"/>
        </w:rPr>
        <w:t xml:space="preserve">is far less </w:t>
      </w:r>
      <w:r w:rsidR="008C1211">
        <w:rPr>
          <w:color w:val="000000" w:themeColor="text1"/>
        </w:rPr>
        <w:t>so</w:t>
      </w:r>
      <w:r w:rsidRPr="009B2692" w:rsidR="009A4C51">
        <w:rPr>
          <w:color w:val="000000" w:themeColor="text1"/>
        </w:rPr>
        <w:t>.</w:t>
      </w:r>
      <w:r w:rsidR="00CF6439">
        <w:rPr>
          <w:rFonts w:cs="Arial"/>
          <w:color w:val="000000" w:themeColor="text1"/>
        </w:rPr>
        <w:t xml:space="preserve"> </w:t>
      </w:r>
      <w:r w:rsidR="00DC1493">
        <w:rPr>
          <w:rFonts w:cs="Arial"/>
          <w:color w:val="000000" w:themeColor="text1"/>
        </w:rPr>
        <w:t>We utilise t</w:t>
      </w:r>
      <w:r w:rsidR="00DE77E2">
        <w:t>he notion of mobility similar to that adopted by DaVanzo (1976, 1983). Thus</w:t>
      </w:r>
      <w:r w:rsidR="00B77CA5">
        <w:t>,</w:t>
      </w:r>
      <w:r w:rsidR="00DE77E2">
        <w:t xml:space="preserve"> we consider two distinct </w:t>
      </w:r>
      <w:r w:rsidR="00A84507">
        <w:t xml:space="preserve">individual decisions; mobility from </w:t>
      </w:r>
      <w:r w:rsidR="008557B0">
        <w:t xml:space="preserve">location </w:t>
      </w:r>
      <w:r w:rsidR="00A84507">
        <w:t xml:space="preserve">of initial domicile to university, followed by mobility between university and </w:t>
      </w:r>
      <w:r w:rsidR="00B77CA5">
        <w:t>place</w:t>
      </w:r>
      <w:r w:rsidR="00A84507">
        <w:t xml:space="preserve"> of </w:t>
      </w:r>
      <w:r w:rsidR="00553076">
        <w:t>post-</w:t>
      </w:r>
      <w:r w:rsidR="00B64842">
        <w:t>graduat</w:t>
      </w:r>
      <w:r w:rsidR="00472828">
        <w:t xml:space="preserve">e </w:t>
      </w:r>
      <w:r w:rsidR="00E546BD">
        <w:t>employment</w:t>
      </w:r>
      <w:r w:rsidR="00A84507">
        <w:t xml:space="preserve">. </w:t>
      </w:r>
      <w:r w:rsidR="00474721">
        <w:t>Subsequently, we estimate rates of return conditional on type of mobility.</w:t>
      </w:r>
    </w:p>
    <w:p w:rsidR="00466037" w:rsidP="00466037" w:rsidRDefault="00466037">
      <w:pPr>
        <w:spacing w:after="0" w:line="360" w:lineRule="auto"/>
        <w:jc w:val="both"/>
      </w:pPr>
    </w:p>
    <w:p w:rsidR="008A05F6" w:rsidP="00FC2291" w:rsidRDefault="00844A1A">
      <w:pPr>
        <w:spacing w:after="0" w:line="360" w:lineRule="auto"/>
        <w:jc w:val="both"/>
      </w:pPr>
      <w:r>
        <w:t xml:space="preserve">From a theoretical perspective one might </w:t>
      </w:r>
      <w:r w:rsidR="00D75882">
        <w:t xml:space="preserve">anticipate </w:t>
      </w:r>
      <w:r>
        <w:t xml:space="preserve">that </w:t>
      </w:r>
      <w:r w:rsidR="00D75882">
        <w:t xml:space="preserve">the same set of </w:t>
      </w:r>
      <w:r>
        <w:t xml:space="preserve">observed </w:t>
      </w:r>
      <w:r w:rsidR="007C13A7">
        <w:t xml:space="preserve">and unobserved factors such as risk aversion, psychological and emotional factors </w:t>
      </w:r>
      <w:r>
        <w:t xml:space="preserve">influence </w:t>
      </w:r>
      <w:r w:rsidR="00D75882">
        <w:t xml:space="preserve">both </w:t>
      </w:r>
      <w:r w:rsidR="007C13A7">
        <w:t>types of mobility</w:t>
      </w:r>
      <w:r>
        <w:t xml:space="preserve">. </w:t>
      </w:r>
      <w:r w:rsidR="00891FBE">
        <w:t xml:space="preserve"> </w:t>
      </w:r>
      <w:r w:rsidR="00912202">
        <w:t>W</w:t>
      </w:r>
      <w:r>
        <w:t>e</w:t>
      </w:r>
      <w:r w:rsidR="00912202">
        <w:t xml:space="preserve"> therefore</w:t>
      </w:r>
      <w:r>
        <w:t xml:space="preserve"> </w:t>
      </w:r>
      <w:r w:rsidR="00912202">
        <w:t xml:space="preserve">adopt </w:t>
      </w:r>
      <w:r>
        <w:t>a</w:t>
      </w:r>
      <w:r w:rsidR="00F363B4">
        <w:t xml:space="preserve"> bivariate probit specification</w:t>
      </w:r>
      <w:r w:rsidR="00912202">
        <w:t xml:space="preserve"> that </w:t>
      </w:r>
      <w:r w:rsidR="00A415DD">
        <w:t>allows</w:t>
      </w:r>
      <w:r w:rsidR="00912202">
        <w:t xml:space="preserve"> for the correlation between the two types of mobility</w:t>
      </w:r>
      <w:r w:rsidR="00AE4966">
        <w:t>. A priori</w:t>
      </w:r>
      <w:r w:rsidR="00344300">
        <w:t>,</w:t>
      </w:r>
      <w:r w:rsidR="005B2B87">
        <w:t xml:space="preserve"> </w:t>
      </w:r>
      <w:r w:rsidR="00F363B4">
        <w:t xml:space="preserve">a positive correlation </w:t>
      </w:r>
      <w:r w:rsidR="00AE4966">
        <w:t>is expected</w:t>
      </w:r>
      <w:r w:rsidR="006300EB">
        <w:t>, i.e. unobserved factors that decrease the likelihood of moving to university</w:t>
      </w:r>
      <w:r w:rsidR="00833F78">
        <w:t xml:space="preserve"> (e.g</w:t>
      </w:r>
      <w:r w:rsidR="005B2B87">
        <w:t>.</w:t>
      </w:r>
      <w:r w:rsidRPr="00833F78" w:rsidR="00833F78">
        <w:t xml:space="preserve"> </w:t>
      </w:r>
      <w:r w:rsidR="00833F78">
        <w:t>importance of family ties)</w:t>
      </w:r>
      <w:r w:rsidR="006300EB">
        <w:t xml:space="preserve"> also make it less likely individual</w:t>
      </w:r>
      <w:r w:rsidR="005B2B87">
        <w:t>s</w:t>
      </w:r>
      <w:r w:rsidR="006300EB">
        <w:t xml:space="preserve"> will move </w:t>
      </w:r>
      <w:r w:rsidR="00BA7BEC">
        <w:t>to find employment.</w:t>
      </w:r>
    </w:p>
    <w:p w:rsidR="00394BC3" w:rsidP="00FC2291" w:rsidRDefault="00394BC3">
      <w:pPr>
        <w:spacing w:after="0" w:line="360" w:lineRule="auto"/>
        <w:jc w:val="both"/>
      </w:pPr>
    </w:p>
    <w:p w:rsidR="00AE4A5A" w:rsidP="00AE4A5A" w:rsidRDefault="00417EF7">
      <w:pPr>
        <w:spacing w:after="0" w:line="360" w:lineRule="auto"/>
        <w:jc w:val="both"/>
      </w:pPr>
      <w:r>
        <w:t>Our analysis</w:t>
      </w:r>
      <w:r w:rsidR="0020463D">
        <w:t xml:space="preserve"> employ</w:t>
      </w:r>
      <w:r>
        <w:t>s</w:t>
      </w:r>
      <w:r w:rsidR="0020463D">
        <w:t xml:space="preserve"> data from</w:t>
      </w:r>
      <w:r w:rsidR="00D46776">
        <w:t xml:space="preserve"> the UK Higher Education (DLHE) Longitudinal Survey 2003/04 cohort. The survey </w:t>
      </w:r>
      <w:r w:rsidR="00D8370F">
        <w:t xml:space="preserve">identifies </w:t>
      </w:r>
      <w:r w:rsidR="00A7550F">
        <w:t xml:space="preserve"> mobility patterns of </w:t>
      </w:r>
      <w:r w:rsidR="00EB1B21">
        <w:t xml:space="preserve">individual </w:t>
      </w:r>
      <w:r w:rsidR="00A7550F">
        <w:t>graduates</w:t>
      </w:r>
      <w:r w:rsidR="00EB1B21">
        <w:t xml:space="preserve">, i.e. both mobility to university and </w:t>
      </w:r>
      <w:r w:rsidR="00B77CA5">
        <w:t>to</w:t>
      </w:r>
      <w:r w:rsidR="00EB1B21">
        <w:t xml:space="preserve"> </w:t>
      </w:r>
      <w:r w:rsidR="00553076">
        <w:t>subsequent</w:t>
      </w:r>
      <w:r w:rsidR="00EB1B21">
        <w:t xml:space="preserve"> employment</w:t>
      </w:r>
      <w:r w:rsidR="00B77CA5">
        <w:t>,</w:t>
      </w:r>
      <w:r w:rsidR="00EB1B21">
        <w:t xml:space="preserve"> as well as </w:t>
      </w:r>
      <w:r w:rsidR="009475C6">
        <w:t>labor</w:t>
      </w:r>
      <w:r w:rsidR="00A7550F">
        <w:t xml:space="preserve"> market outcomes </w:t>
      </w:r>
      <w:r w:rsidR="00EB1B21">
        <w:t xml:space="preserve">defined at </w:t>
      </w:r>
      <w:r w:rsidR="00A7550F">
        <w:t>3.5 years after graduation</w:t>
      </w:r>
      <w:r w:rsidR="00EB1B21">
        <w:t xml:space="preserve">. </w:t>
      </w:r>
      <w:r w:rsidR="00A7550F">
        <w:t xml:space="preserve"> </w:t>
      </w:r>
      <w:r w:rsidR="00EB1B21">
        <w:t>Thus</w:t>
      </w:r>
      <w:r w:rsidR="0020463D">
        <w:t>,</w:t>
      </w:r>
      <w:r w:rsidR="00EB1B21">
        <w:t xml:space="preserve"> the data shed light on </w:t>
      </w:r>
      <w:r w:rsidR="00D1667B">
        <w:t xml:space="preserve">whether the more mobile </w:t>
      </w:r>
      <w:r w:rsidR="00D8370F">
        <w:t>earn a premium compared to</w:t>
      </w:r>
      <w:r w:rsidR="00A7550F">
        <w:t xml:space="preserve"> those who </w:t>
      </w:r>
      <w:r w:rsidR="001A1D44">
        <w:t>do not move</w:t>
      </w:r>
      <w:r w:rsidR="00A7550F">
        <w:t>.</w:t>
      </w:r>
      <w:r w:rsidR="00730735">
        <w:t xml:space="preserve"> </w:t>
      </w:r>
      <w:r w:rsidR="00FB2789">
        <w:t>We restrict analysis to first degree graduates born in or resident in the UK</w:t>
      </w:r>
      <w:r w:rsidR="004B279A">
        <w:t>.</w:t>
      </w:r>
      <w:r w:rsidR="00D8370F">
        <w:rPr>
          <w:rStyle w:val="EndnoteReference"/>
        </w:rPr>
        <w:endnoteReference w:id="2"/>
      </w:r>
      <w:r w:rsidR="00FB2789">
        <w:t xml:space="preserve"> We then follow the </w:t>
      </w:r>
      <w:r w:rsidR="002A49DB">
        <w:t xml:space="preserve">student </w:t>
      </w:r>
      <w:r w:rsidR="00FB2789">
        <w:t xml:space="preserve">cohort into the labour market and establish the extent to which earnings differ </w:t>
      </w:r>
      <w:r w:rsidR="00F80EAD">
        <w:t xml:space="preserve">by </w:t>
      </w:r>
      <w:r w:rsidR="00FB2789">
        <w:t xml:space="preserve">mobility history. The implicit assumption is that salary after 3.5 years </w:t>
      </w:r>
      <w:r w:rsidR="00F80EAD">
        <w:t>is</w:t>
      </w:r>
      <w:r w:rsidR="00FB2789">
        <w:t xml:space="preserve"> a good predictor of lifetime earnings</w:t>
      </w:r>
      <w:r w:rsidR="002A49DB">
        <w:t>. A</w:t>
      </w:r>
      <w:r w:rsidR="00FB2789">
        <w:t xml:space="preserve">vailable evidence suggests that this is indeed the case as the vast majority of workers tend to remain in the same UK region and </w:t>
      </w:r>
      <w:r w:rsidR="00085D22">
        <w:t xml:space="preserve">in the </w:t>
      </w:r>
      <w:r w:rsidR="00FB2789">
        <w:t>the same broad occupational grouping for very long periods.  Thus,</w:t>
      </w:r>
      <w:r w:rsidR="00891FBE">
        <w:t xml:space="preserve"> in general</w:t>
      </w:r>
      <w:r w:rsidR="00FB2789">
        <w:t xml:space="preserve"> individuals </w:t>
      </w:r>
      <w:r w:rsidR="00891FBE">
        <w:t xml:space="preserve">post-graduation tend to </w:t>
      </w:r>
      <w:r w:rsidR="00692FED">
        <w:t xml:space="preserve">select an </w:t>
      </w:r>
      <w:r w:rsidR="00891FBE">
        <w:t xml:space="preserve">occupation and region of </w:t>
      </w:r>
      <w:r w:rsidR="00891FBE">
        <w:lastRenderedPageBreak/>
        <w:t>employment</w:t>
      </w:r>
      <w:r w:rsidR="00FB2789">
        <w:t xml:space="preserve"> </w:t>
      </w:r>
      <w:r w:rsidR="00891FBE">
        <w:t xml:space="preserve"> with a </w:t>
      </w:r>
      <w:r w:rsidR="00FB2789">
        <w:t>life</w:t>
      </w:r>
      <w:r w:rsidR="00891FBE">
        <w:t xml:space="preserve">time </w:t>
      </w:r>
      <w:r w:rsidR="00692FED">
        <w:t xml:space="preserve">view </w:t>
      </w:r>
      <w:r w:rsidR="00FB2789">
        <w:t xml:space="preserve">(Naylor </w:t>
      </w:r>
      <w:r w:rsidRPr="00F80EF3" w:rsidR="00FB2789">
        <w:t>et al.</w:t>
      </w:r>
      <w:r w:rsidR="00FB2789">
        <w:t>, 1998). Given the evidence presented by de Grip</w:t>
      </w:r>
      <w:r w:rsidR="00FB2789">
        <w:rPr>
          <w:i/>
        </w:rPr>
        <w:t xml:space="preserve"> </w:t>
      </w:r>
      <w:r w:rsidRPr="00F80EF3" w:rsidR="00FB2789">
        <w:t>et al.</w:t>
      </w:r>
      <w:r w:rsidR="00FB2789">
        <w:t xml:space="preserve"> (2008) on the persistence of graduate disadvantage after early career mismatch, we </w:t>
      </w:r>
      <w:r w:rsidR="00F04751">
        <w:t>are</w:t>
      </w:r>
      <w:r w:rsidR="00FB2789">
        <w:t xml:space="preserve"> confident that the early career opportunities analysed </w:t>
      </w:r>
      <w:r w:rsidR="00F37FD9">
        <w:t>here</w:t>
      </w:r>
      <w:r w:rsidR="00FB2789">
        <w:t xml:space="preserve"> </w:t>
      </w:r>
      <w:r w:rsidR="00F37FD9">
        <w:t>are reflective of</w:t>
      </w:r>
      <w:r w:rsidR="00FB2789">
        <w:t xml:space="preserve"> lifetime opportunities</w:t>
      </w:r>
      <w:r w:rsidR="004B279A">
        <w:t xml:space="preserve"> and that </w:t>
      </w:r>
      <w:r w:rsidR="00085D22">
        <w:t xml:space="preserve">early </w:t>
      </w:r>
      <w:r w:rsidR="00FB2789">
        <w:t xml:space="preserve">career disadvantage is likely to translate into inferior long-term outcomes. </w:t>
      </w:r>
      <w:r>
        <w:t>In a similar vein, Oreopoulos et al. (2012) report that 70 per cent of overall graduate wage growth occurs in the first ten years of an individual’s work experience.</w:t>
      </w:r>
    </w:p>
    <w:p w:rsidR="009945CC" w:rsidP="000B0761" w:rsidRDefault="009945CC">
      <w:pPr>
        <w:spacing w:after="0" w:line="360" w:lineRule="auto"/>
        <w:jc w:val="both"/>
        <w:rPr>
          <w:rFonts w:cs="Arial"/>
        </w:rPr>
      </w:pPr>
    </w:p>
    <w:p w:rsidR="009B2692" w:rsidP="009B2692" w:rsidRDefault="001B4FD3">
      <w:pPr>
        <w:spacing w:after="0" w:line="360" w:lineRule="auto"/>
        <w:jc w:val="both"/>
        <w:rPr>
          <w:color w:val="000000" w:themeColor="text1"/>
        </w:rPr>
      </w:pPr>
      <w:r w:rsidRPr="009B2692">
        <w:rPr>
          <w:rFonts w:cs="Arial"/>
          <w:color w:val="000000" w:themeColor="text1"/>
        </w:rPr>
        <w:t xml:space="preserve">We adopt a framework that considers </w:t>
      </w:r>
      <w:r w:rsidRPr="009B2692" w:rsidR="00D6463A">
        <w:rPr>
          <w:rFonts w:cs="Arial"/>
          <w:color w:val="000000" w:themeColor="text1"/>
        </w:rPr>
        <w:t xml:space="preserve">the inter-relationship between </w:t>
      </w:r>
      <w:r w:rsidR="00F80EAD">
        <w:rPr>
          <w:color w:val="000000" w:themeColor="text1"/>
        </w:rPr>
        <w:t>area</w:t>
      </w:r>
      <w:r w:rsidR="00587897">
        <w:rPr>
          <w:color w:val="000000" w:themeColor="text1"/>
        </w:rPr>
        <w:t xml:space="preserve"> of domicile</w:t>
      </w:r>
      <w:r w:rsidRPr="009B2692" w:rsidR="009B2692">
        <w:rPr>
          <w:color w:val="000000" w:themeColor="text1"/>
        </w:rPr>
        <w:t xml:space="preserve">, </w:t>
      </w:r>
      <w:r w:rsidR="00B10392">
        <w:rPr>
          <w:color w:val="000000" w:themeColor="text1"/>
        </w:rPr>
        <w:t>location</w:t>
      </w:r>
      <w:r w:rsidRPr="009B2692" w:rsidR="00B10392">
        <w:rPr>
          <w:color w:val="000000" w:themeColor="text1"/>
        </w:rPr>
        <w:t xml:space="preserve"> </w:t>
      </w:r>
      <w:r w:rsidRPr="009B2692" w:rsidR="009B2692">
        <w:rPr>
          <w:color w:val="000000" w:themeColor="text1"/>
        </w:rPr>
        <w:t xml:space="preserve">of study and place of employment in a </w:t>
      </w:r>
      <w:r w:rsidR="003B45B4">
        <w:rPr>
          <w:color w:val="000000" w:themeColor="text1"/>
        </w:rPr>
        <w:t>comprehensive</w:t>
      </w:r>
      <w:r w:rsidRPr="009B2692" w:rsidR="009B2692">
        <w:rPr>
          <w:color w:val="000000" w:themeColor="text1"/>
        </w:rPr>
        <w:t xml:space="preserve"> examination of graduate mobility</w:t>
      </w:r>
      <w:r w:rsidR="00587897">
        <w:rPr>
          <w:color w:val="000000" w:themeColor="text1"/>
        </w:rPr>
        <w:t xml:space="preserve">. </w:t>
      </w:r>
      <w:r w:rsidR="00B10392">
        <w:rPr>
          <w:color w:val="000000" w:themeColor="text1"/>
        </w:rPr>
        <w:t xml:space="preserve">In </w:t>
      </w:r>
      <w:r w:rsidR="00936705">
        <w:rPr>
          <w:color w:val="000000" w:themeColor="text1"/>
        </w:rPr>
        <w:t>addition</w:t>
      </w:r>
      <w:r w:rsidR="009C79B0">
        <w:rPr>
          <w:color w:val="000000" w:themeColor="text1"/>
        </w:rPr>
        <w:t>,</w:t>
      </w:r>
      <w:r w:rsidR="00B10392">
        <w:rPr>
          <w:color w:val="000000" w:themeColor="text1"/>
        </w:rPr>
        <w:t xml:space="preserve"> we examine the sensitivity of results to the definition of mobility </w:t>
      </w:r>
      <w:r w:rsidR="00794C6C">
        <w:rPr>
          <w:color w:val="000000" w:themeColor="text1"/>
        </w:rPr>
        <w:t>with</w:t>
      </w:r>
      <w:r w:rsidR="00B10392">
        <w:rPr>
          <w:color w:val="000000" w:themeColor="text1"/>
        </w:rPr>
        <w:t xml:space="preserve"> </w:t>
      </w:r>
      <w:r w:rsidR="000E6718">
        <w:rPr>
          <w:color w:val="000000" w:themeColor="text1"/>
        </w:rPr>
        <w:t xml:space="preserve">respect to </w:t>
      </w:r>
      <w:r w:rsidR="00B10392">
        <w:rPr>
          <w:color w:val="000000" w:themeColor="text1"/>
        </w:rPr>
        <w:t>a variety of distance measures.</w:t>
      </w:r>
      <w:r w:rsidR="00936705">
        <w:rPr>
          <w:color w:val="000000" w:themeColor="text1"/>
        </w:rPr>
        <w:t xml:space="preserve"> </w:t>
      </w:r>
      <w:r w:rsidR="002A078F">
        <w:rPr>
          <w:color w:val="000000" w:themeColor="text1"/>
        </w:rPr>
        <w:t xml:space="preserve">Finally, we </w:t>
      </w:r>
      <w:r w:rsidR="00F04751">
        <w:rPr>
          <w:color w:val="000000" w:themeColor="text1"/>
        </w:rPr>
        <w:t>use</w:t>
      </w:r>
      <w:r w:rsidRPr="009B2692" w:rsidR="009B2692">
        <w:rPr>
          <w:color w:val="000000" w:themeColor="text1"/>
        </w:rPr>
        <w:t xml:space="preserve"> </w:t>
      </w:r>
      <w:r w:rsidR="003B45B4">
        <w:rPr>
          <w:color w:val="000000" w:themeColor="text1"/>
        </w:rPr>
        <w:t>quan</w:t>
      </w:r>
      <w:r w:rsidR="00587897">
        <w:rPr>
          <w:color w:val="000000" w:themeColor="text1"/>
        </w:rPr>
        <w:t xml:space="preserve">tile </w:t>
      </w:r>
      <w:r w:rsidR="000E6718">
        <w:rPr>
          <w:color w:val="000000" w:themeColor="text1"/>
        </w:rPr>
        <w:t xml:space="preserve">regression </w:t>
      </w:r>
      <w:r w:rsidR="00F04751">
        <w:rPr>
          <w:color w:val="000000" w:themeColor="text1"/>
        </w:rPr>
        <w:t>analysis</w:t>
      </w:r>
      <w:r w:rsidRPr="009B2692" w:rsidR="00F04751">
        <w:rPr>
          <w:color w:val="000000" w:themeColor="text1"/>
        </w:rPr>
        <w:t xml:space="preserve"> </w:t>
      </w:r>
      <w:r w:rsidR="00F04751">
        <w:rPr>
          <w:color w:val="000000" w:themeColor="text1"/>
        </w:rPr>
        <w:t>to</w:t>
      </w:r>
      <w:r w:rsidR="002A078F">
        <w:rPr>
          <w:color w:val="000000" w:themeColor="text1"/>
        </w:rPr>
        <w:t xml:space="preserve"> </w:t>
      </w:r>
      <w:r w:rsidR="00140B45">
        <w:rPr>
          <w:color w:val="000000" w:themeColor="text1"/>
        </w:rPr>
        <w:t>examine the</w:t>
      </w:r>
      <w:r w:rsidR="00E648C1">
        <w:rPr>
          <w:color w:val="000000" w:themeColor="text1"/>
        </w:rPr>
        <w:t xml:space="preserve"> </w:t>
      </w:r>
      <w:r w:rsidR="00F04751">
        <w:rPr>
          <w:color w:val="000000" w:themeColor="text1"/>
        </w:rPr>
        <w:t xml:space="preserve">graduate </w:t>
      </w:r>
      <w:r w:rsidR="00E648C1">
        <w:rPr>
          <w:color w:val="000000" w:themeColor="text1"/>
        </w:rPr>
        <w:t xml:space="preserve">earnings distribution </w:t>
      </w:r>
      <w:r w:rsidR="00140B45">
        <w:rPr>
          <w:color w:val="000000" w:themeColor="text1"/>
        </w:rPr>
        <w:t xml:space="preserve">(conditional on mobility) </w:t>
      </w:r>
      <w:r w:rsidR="003C22A1">
        <w:rPr>
          <w:color w:val="000000" w:themeColor="text1"/>
        </w:rPr>
        <w:t xml:space="preserve">rather than </w:t>
      </w:r>
      <w:r w:rsidR="000E6718">
        <w:rPr>
          <w:color w:val="000000" w:themeColor="text1"/>
        </w:rPr>
        <w:t xml:space="preserve">the </w:t>
      </w:r>
      <w:r w:rsidR="003C22A1">
        <w:rPr>
          <w:color w:val="000000" w:themeColor="text1"/>
        </w:rPr>
        <w:t xml:space="preserve">more traditional </w:t>
      </w:r>
      <w:r w:rsidR="0001572A">
        <w:rPr>
          <w:color w:val="000000" w:themeColor="text1"/>
        </w:rPr>
        <w:t xml:space="preserve">(and limited) </w:t>
      </w:r>
      <w:r w:rsidR="003C22A1">
        <w:rPr>
          <w:color w:val="000000" w:themeColor="text1"/>
        </w:rPr>
        <w:t>focus on</w:t>
      </w:r>
      <w:r w:rsidR="00412CB0">
        <w:rPr>
          <w:color w:val="000000" w:themeColor="text1"/>
        </w:rPr>
        <w:t xml:space="preserve"> the </w:t>
      </w:r>
      <w:r w:rsidR="003C22A1">
        <w:rPr>
          <w:color w:val="000000" w:themeColor="text1"/>
        </w:rPr>
        <w:t>mean</w:t>
      </w:r>
      <w:r w:rsidR="0098020E">
        <w:rPr>
          <w:color w:val="000000" w:themeColor="text1"/>
        </w:rPr>
        <w:t>.</w:t>
      </w:r>
      <w:r w:rsidR="00396A51">
        <w:rPr>
          <w:color w:val="000000" w:themeColor="text1"/>
        </w:rPr>
        <w:t xml:space="preserve"> </w:t>
      </w:r>
      <w:r w:rsidR="007069A8">
        <w:rPr>
          <w:color w:val="000000" w:themeColor="text1"/>
        </w:rPr>
        <w:t xml:space="preserve">This echoes the sentiments of </w:t>
      </w:r>
      <w:r w:rsidR="00396A51">
        <w:rPr>
          <w:color w:val="000000" w:themeColor="text1"/>
        </w:rPr>
        <w:t>Courtioux</w:t>
      </w:r>
      <w:r w:rsidRPr="00BA7BEC" w:rsidR="00396A51">
        <w:rPr>
          <w:color w:val="000000" w:themeColor="text1"/>
        </w:rPr>
        <w:t xml:space="preserve"> et al</w:t>
      </w:r>
      <w:r w:rsidRPr="00BA7BEC" w:rsidR="00DE5544">
        <w:rPr>
          <w:color w:val="000000" w:themeColor="text1"/>
        </w:rPr>
        <w:t>.</w:t>
      </w:r>
      <w:r w:rsidR="00396A51">
        <w:rPr>
          <w:color w:val="000000" w:themeColor="text1"/>
        </w:rPr>
        <w:t xml:space="preserve"> (2014) </w:t>
      </w:r>
      <w:r w:rsidR="00DE5544">
        <w:rPr>
          <w:color w:val="000000" w:themeColor="text1"/>
        </w:rPr>
        <w:t xml:space="preserve">who </w:t>
      </w:r>
      <w:r w:rsidR="00396A51">
        <w:rPr>
          <w:color w:val="000000" w:themeColor="text1"/>
        </w:rPr>
        <w:t>model the distribution of higher education returns using a microsimulation approach</w:t>
      </w:r>
      <w:r w:rsidR="00DE5544">
        <w:rPr>
          <w:color w:val="000000" w:themeColor="text1"/>
        </w:rPr>
        <w:t xml:space="preserve"> and </w:t>
      </w:r>
      <w:r w:rsidR="00396A51">
        <w:rPr>
          <w:color w:val="000000" w:themeColor="text1"/>
        </w:rPr>
        <w:t>conclude that it is important to examine the distribution and variance of returns.</w:t>
      </w:r>
    </w:p>
    <w:p w:rsidR="00F84510" w:rsidP="009B2692" w:rsidRDefault="00F84510">
      <w:pPr>
        <w:spacing w:after="0" w:line="360" w:lineRule="auto"/>
        <w:jc w:val="both"/>
        <w:rPr>
          <w:color w:val="000000" w:themeColor="text1"/>
        </w:rPr>
      </w:pPr>
    </w:p>
    <w:p w:rsidRPr="009B2692" w:rsidR="00F84510" w:rsidP="009B2692" w:rsidRDefault="00F84510">
      <w:pPr>
        <w:spacing w:after="0" w:line="360" w:lineRule="auto"/>
        <w:jc w:val="both"/>
        <w:rPr>
          <w:color w:val="000000" w:themeColor="text1"/>
        </w:rPr>
      </w:pPr>
      <w:r>
        <w:rPr>
          <w:color w:val="000000" w:themeColor="text1"/>
        </w:rPr>
        <w:t xml:space="preserve">In what follows, we initially provide some background information on the UK higher education sector which will place some of the results discussed later into context. A review of the relevant literature, encompassing two disparate but related </w:t>
      </w:r>
      <w:r w:rsidR="00537C53">
        <w:rPr>
          <w:color w:val="000000" w:themeColor="text1"/>
        </w:rPr>
        <w:t>strands</w:t>
      </w:r>
      <w:r>
        <w:rPr>
          <w:color w:val="000000" w:themeColor="text1"/>
        </w:rPr>
        <w:t xml:space="preserve"> follows, before we describe the data source and the methodology adopted in the empirical </w:t>
      </w:r>
      <w:r w:rsidR="009607E8">
        <w:rPr>
          <w:color w:val="000000" w:themeColor="text1"/>
        </w:rPr>
        <w:t>analysis</w:t>
      </w:r>
      <w:r>
        <w:rPr>
          <w:color w:val="000000" w:themeColor="text1"/>
        </w:rPr>
        <w:t xml:space="preserve">. A discussion of the results and conclusions then </w:t>
      </w:r>
      <w:r w:rsidR="00E661A2">
        <w:rPr>
          <w:color w:val="000000" w:themeColor="text1"/>
        </w:rPr>
        <w:t>complete the paper. A</w:t>
      </w:r>
      <w:r>
        <w:rPr>
          <w:color w:val="000000" w:themeColor="text1"/>
        </w:rPr>
        <w:t xml:space="preserve"> clear finding </w:t>
      </w:r>
      <w:r w:rsidR="00E661A2">
        <w:rPr>
          <w:color w:val="000000" w:themeColor="text1"/>
        </w:rPr>
        <w:t xml:space="preserve">to emerge </w:t>
      </w:r>
      <w:r>
        <w:rPr>
          <w:color w:val="000000" w:themeColor="text1"/>
        </w:rPr>
        <w:t>is that</w:t>
      </w:r>
      <w:r w:rsidR="00E661A2">
        <w:rPr>
          <w:color w:val="000000" w:themeColor="text1"/>
        </w:rPr>
        <w:t xml:space="preserve"> </w:t>
      </w:r>
      <w:r w:rsidR="002A40EA">
        <w:rPr>
          <w:color w:val="000000" w:themeColor="text1"/>
        </w:rPr>
        <w:t>students who are more mobile earn more than those who are less mobile. T</w:t>
      </w:r>
      <w:r w:rsidR="00E661A2">
        <w:rPr>
          <w:color w:val="000000" w:themeColor="text1"/>
        </w:rPr>
        <w:t xml:space="preserve">here is </w:t>
      </w:r>
      <w:r w:rsidR="002A40EA">
        <w:rPr>
          <w:color w:val="000000" w:themeColor="text1"/>
        </w:rPr>
        <w:t xml:space="preserve">also </w:t>
      </w:r>
      <w:r w:rsidR="00E661A2">
        <w:rPr>
          <w:color w:val="000000" w:themeColor="text1"/>
        </w:rPr>
        <w:t xml:space="preserve">a crucial distinction between those who constrain their location of job search and those who do not. Furthermore, </w:t>
      </w:r>
      <w:r w:rsidR="002A40EA">
        <w:rPr>
          <w:color w:val="000000" w:themeColor="text1"/>
        </w:rPr>
        <w:t>the earnings advantage is shown to</w:t>
      </w:r>
      <w:r w:rsidR="000108BB">
        <w:rPr>
          <w:color w:val="000000" w:themeColor="text1"/>
        </w:rPr>
        <w:t xml:space="preserve"> vary along the earnings distribution, with the implication that concentrating upon only mean outcomes mis-represents the effect of mobility upon earnings.</w:t>
      </w:r>
    </w:p>
    <w:p w:rsidR="00D6463A" w:rsidP="00B63F4C" w:rsidRDefault="00D6463A">
      <w:pPr>
        <w:spacing w:after="0" w:line="360" w:lineRule="auto"/>
        <w:jc w:val="both"/>
        <w:rPr>
          <w:rFonts w:cs="Arial"/>
          <w:color w:val="FF0000"/>
        </w:rPr>
      </w:pPr>
    </w:p>
    <w:p w:rsidRPr="00DE6EBC" w:rsidR="001D05F6" w:rsidP="001734E9" w:rsidRDefault="002845F8">
      <w:pPr>
        <w:spacing w:after="0" w:line="360" w:lineRule="auto"/>
        <w:jc w:val="both"/>
        <w:outlineLvl w:val="0"/>
        <w:rPr>
          <w:rFonts w:cs="Arial"/>
          <w:b/>
          <w:color w:val="000000" w:themeColor="text1"/>
        </w:rPr>
      </w:pPr>
      <w:r>
        <w:rPr>
          <w:rFonts w:cs="Arial"/>
          <w:b/>
          <w:color w:val="000000" w:themeColor="text1"/>
        </w:rPr>
        <w:t>2.</w:t>
      </w:r>
      <w:r>
        <w:rPr>
          <w:rFonts w:cs="Arial"/>
          <w:b/>
          <w:color w:val="000000" w:themeColor="text1"/>
        </w:rPr>
        <w:tab/>
      </w:r>
      <w:r w:rsidRPr="00DE6EBC" w:rsidR="001D05F6">
        <w:rPr>
          <w:rFonts w:cs="Arial"/>
          <w:b/>
          <w:color w:val="000000" w:themeColor="text1"/>
        </w:rPr>
        <w:t>Some Background</w:t>
      </w:r>
    </w:p>
    <w:p w:rsidR="001D05F6" w:rsidP="001D05F6" w:rsidRDefault="001D05F6">
      <w:pPr>
        <w:spacing w:after="0" w:line="360" w:lineRule="auto"/>
        <w:jc w:val="both"/>
      </w:pPr>
      <w:r>
        <w:t xml:space="preserve">First we outline some salient points of the UK higher education system to </w:t>
      </w:r>
      <w:r w:rsidR="0089634E">
        <w:t xml:space="preserve">provide </w:t>
      </w:r>
      <w:r>
        <w:t xml:space="preserve">context </w:t>
      </w:r>
      <w:r w:rsidR="0020463D">
        <w:t>for</w:t>
      </w:r>
      <w:r w:rsidR="006E6F4B">
        <w:t xml:space="preserve"> the empirical analysis that follows. </w:t>
      </w:r>
      <w:r>
        <w:t xml:space="preserve">From the 1960s there has been substantial growth in the number of degree awarding institutions and those endowed with the title of university. In order to  distinguish the old </w:t>
      </w:r>
      <w:r w:rsidR="00B544CA">
        <w:t xml:space="preserve">and established </w:t>
      </w:r>
      <w:r>
        <w:t xml:space="preserve">from the new, </w:t>
      </w:r>
      <w:r w:rsidR="00B544CA">
        <w:t xml:space="preserve">a number of </w:t>
      </w:r>
      <w:r>
        <w:t xml:space="preserve">institutions </w:t>
      </w:r>
      <w:r w:rsidR="00B544CA">
        <w:t>formed coalitions</w:t>
      </w:r>
      <w:r w:rsidR="006E6F4B">
        <w:t xml:space="preserve">. </w:t>
      </w:r>
      <w:r>
        <w:t xml:space="preserve">Perhaps the most prestigious is the Russell Group of 24 large research intensive universities including Oxford, Cambridge and the University of London. The 94 Group consisted of smaller research intensive universities which did not gain admission to the Russell Group on account of their size, though this </w:t>
      </w:r>
      <w:r>
        <w:lastRenderedPageBreak/>
        <w:t>group</w:t>
      </w:r>
      <w:r w:rsidR="006E6F4B">
        <w:t xml:space="preserve"> disbanded in 2013. The pre-</w:t>
      </w:r>
      <w:r>
        <w:t xml:space="preserve">1992 </w:t>
      </w:r>
      <w:r w:rsidR="00140B45">
        <w:t xml:space="preserve">group </w:t>
      </w:r>
      <w:r>
        <w:t xml:space="preserve">were those longstanding institutions that had university status prior to the polytechnics being awarded </w:t>
      </w:r>
      <w:r w:rsidR="00F04751">
        <w:t xml:space="preserve">equivalent </w:t>
      </w:r>
      <w:r>
        <w:t xml:space="preserve">status in 1992. </w:t>
      </w:r>
      <w:r w:rsidR="00B544CA">
        <w:t>The remainder</w:t>
      </w:r>
      <w:r w:rsidR="0033577C">
        <w:t xml:space="preserve"> consist </w:t>
      </w:r>
      <w:r>
        <w:t xml:space="preserve">of former polytechnics and teacher training, art and design, agriculture music and drama colleges </w:t>
      </w:r>
      <w:r w:rsidR="00B544CA">
        <w:t xml:space="preserve">together with </w:t>
      </w:r>
      <w:r>
        <w:t>other specialist institutions.</w:t>
      </w:r>
    </w:p>
    <w:p w:rsidR="001D05F6" w:rsidP="001D05F6" w:rsidRDefault="001D05F6">
      <w:pPr>
        <w:spacing w:after="0" w:line="360" w:lineRule="auto"/>
        <w:jc w:val="both"/>
      </w:pPr>
    </w:p>
    <w:p w:rsidR="001D05F6" w:rsidP="001D05F6" w:rsidRDefault="001D05F6">
      <w:pPr>
        <w:spacing w:line="360" w:lineRule="auto"/>
        <w:jc w:val="both"/>
      </w:pPr>
      <w:r>
        <w:t>Degree classifications in the UK rely on the appointment of external examiners with the aim of ensuring comparability across institutions</w:t>
      </w:r>
      <w:r w:rsidR="00912202">
        <w:t>. S</w:t>
      </w:r>
      <w:r>
        <w:t xml:space="preserve">tudents </w:t>
      </w:r>
      <w:r w:rsidR="00912202">
        <w:t xml:space="preserve">are classified </w:t>
      </w:r>
      <w:r>
        <w:t xml:space="preserve">on </w:t>
      </w:r>
      <w:r w:rsidR="00F04751">
        <w:t xml:space="preserve">the basis of </w:t>
      </w:r>
      <w:r>
        <w:t xml:space="preserve">their performance, ranging from </w:t>
      </w:r>
      <w:r w:rsidR="00FC2BC6">
        <w:t xml:space="preserve">a </w:t>
      </w:r>
      <w:r>
        <w:t xml:space="preserve">pass degree to </w:t>
      </w:r>
      <w:r w:rsidR="00FC2BC6">
        <w:t xml:space="preserve">an </w:t>
      </w:r>
      <w:r>
        <w:t>honour</w:t>
      </w:r>
      <w:r w:rsidR="00F04751">
        <w:t>s</w:t>
      </w:r>
      <w:r>
        <w:t xml:space="preserve"> degree, split into third, lower second, upper second and first class honours</w:t>
      </w:r>
      <w:r w:rsidR="00912202">
        <w:t xml:space="preserve"> in increasing order of merit</w:t>
      </w:r>
      <w:r>
        <w:t>. Traditionally</w:t>
      </w:r>
      <w:r w:rsidR="0020463D">
        <w:t>,</w:t>
      </w:r>
      <w:r>
        <w:t xml:space="preserve"> those wishing to </w:t>
      </w:r>
      <w:r w:rsidR="00FC2BC6">
        <w:t>proceed</w:t>
      </w:r>
      <w:r>
        <w:t xml:space="preserve"> to a higher degree require at least an upper second.</w:t>
      </w:r>
    </w:p>
    <w:p w:rsidR="001D05F6" w:rsidRDefault="001D05F6">
      <w:pPr>
        <w:spacing w:after="0" w:line="360" w:lineRule="auto"/>
        <w:jc w:val="both"/>
      </w:pPr>
      <w:r>
        <w:t xml:space="preserve">The quality of institutions is judged </w:t>
      </w:r>
      <w:r w:rsidR="0020463D">
        <w:t>primarily</w:t>
      </w:r>
      <w:r>
        <w:t xml:space="preserve"> on their performance in research as opposed to tea</w:t>
      </w:r>
      <w:r w:rsidR="00883079">
        <w:t>ching. The main purpose of the Research Assessment E</w:t>
      </w:r>
      <w:r>
        <w:t xml:space="preserve">xercise (RAE), now Research Excellence Framework (REF), is to enable the higher education funding bodies in England, Wales, Scotland and Northern Ireland to distribute public funds selectively on the basis of assessed </w:t>
      </w:r>
      <w:r w:rsidR="00140B45">
        <w:t xml:space="preserve">research </w:t>
      </w:r>
      <w:r>
        <w:t>quality. These exercises take place every 4,</w:t>
      </w:r>
      <w:r w:rsidR="0033577C">
        <w:t xml:space="preserve"> </w:t>
      </w:r>
      <w:r>
        <w:t>5 or 6 years. Panels use a standard scale for each assessed discipline ranging in 2001 from 1 (national) to 5* (international) levels of excellence with the modal grade being split into 3</w:t>
      </w:r>
      <w:r w:rsidR="00B544CA">
        <w:t>a/3b</w:t>
      </w:r>
      <w:r>
        <w:t xml:space="preserve"> and 5 having a starred grade as well as a standard grade, thus providing a seven point scale.</w:t>
      </w:r>
    </w:p>
    <w:p w:rsidRPr="00DE6EBC" w:rsidR="006E6F4B" w:rsidRDefault="006E6F4B">
      <w:pPr>
        <w:spacing w:after="0" w:line="360" w:lineRule="auto"/>
        <w:jc w:val="both"/>
      </w:pPr>
    </w:p>
    <w:p w:rsidRPr="00EA2312" w:rsidR="00394BC3" w:rsidP="001734E9" w:rsidRDefault="002845F8">
      <w:pPr>
        <w:spacing w:after="0" w:line="360" w:lineRule="auto"/>
        <w:jc w:val="both"/>
        <w:outlineLvl w:val="0"/>
        <w:rPr>
          <w:rFonts w:cs="Arial"/>
          <w:b/>
          <w:color w:val="000000" w:themeColor="text1"/>
        </w:rPr>
      </w:pPr>
      <w:r>
        <w:rPr>
          <w:rFonts w:cs="Arial"/>
          <w:b/>
          <w:color w:val="000000" w:themeColor="text1"/>
        </w:rPr>
        <w:t>3.</w:t>
      </w:r>
      <w:r>
        <w:rPr>
          <w:rFonts w:cs="Arial"/>
          <w:b/>
          <w:color w:val="000000" w:themeColor="text1"/>
        </w:rPr>
        <w:tab/>
      </w:r>
      <w:r w:rsidRPr="00EA2312" w:rsidR="00394BC3">
        <w:rPr>
          <w:rFonts w:cs="Arial"/>
          <w:b/>
          <w:color w:val="000000" w:themeColor="text1"/>
        </w:rPr>
        <w:t>Literature Review</w:t>
      </w:r>
    </w:p>
    <w:p w:rsidR="002A29C8" w:rsidP="002A29C8" w:rsidRDefault="004F4889">
      <w:pPr>
        <w:spacing w:after="0" w:line="360" w:lineRule="auto"/>
        <w:jc w:val="both"/>
        <w:rPr>
          <w:rFonts w:cs="Arial"/>
        </w:rPr>
      </w:pPr>
      <w:r>
        <w:rPr>
          <w:rFonts w:cs="Arial"/>
        </w:rPr>
        <w:t xml:space="preserve">The existing literature </w:t>
      </w:r>
      <w:r w:rsidR="00F64E16">
        <w:rPr>
          <w:rFonts w:cs="Arial"/>
        </w:rPr>
        <w:t>has</w:t>
      </w:r>
      <w:r w:rsidR="002A29C8">
        <w:rPr>
          <w:rFonts w:cs="Arial"/>
        </w:rPr>
        <w:t xml:space="preserve"> two </w:t>
      </w:r>
      <w:r w:rsidR="009165CA">
        <w:rPr>
          <w:rFonts w:cs="Arial"/>
        </w:rPr>
        <w:t xml:space="preserve">major </w:t>
      </w:r>
      <w:r w:rsidR="002A29C8">
        <w:rPr>
          <w:rFonts w:cs="Arial"/>
        </w:rPr>
        <w:t>strands</w:t>
      </w:r>
      <w:r w:rsidR="00F64E16">
        <w:rPr>
          <w:rFonts w:cs="Arial"/>
        </w:rPr>
        <w:t>;</w:t>
      </w:r>
      <w:r w:rsidR="002A29C8">
        <w:rPr>
          <w:rFonts w:cs="Arial"/>
        </w:rPr>
        <w:t xml:space="preserve"> </w:t>
      </w:r>
      <w:r w:rsidR="00F80EAD">
        <w:rPr>
          <w:rFonts w:cs="Arial"/>
        </w:rPr>
        <w:t xml:space="preserve">the graduate earnings premium and </w:t>
      </w:r>
      <w:r w:rsidR="002A29C8">
        <w:rPr>
          <w:rFonts w:cs="Arial"/>
        </w:rPr>
        <w:t xml:space="preserve">graduate mobility. </w:t>
      </w:r>
      <w:r w:rsidR="00F64E16">
        <w:rPr>
          <w:rFonts w:cs="Arial"/>
        </w:rPr>
        <w:t xml:space="preserve">The current analysis </w:t>
      </w:r>
      <w:r w:rsidR="00085D22">
        <w:rPr>
          <w:rFonts w:cs="Arial"/>
        </w:rPr>
        <w:t>unifies</w:t>
      </w:r>
      <w:r w:rsidR="002A29C8">
        <w:rPr>
          <w:rFonts w:cs="Arial"/>
        </w:rPr>
        <w:t xml:space="preserve"> these</w:t>
      </w:r>
      <w:r w:rsidR="00B8350D">
        <w:rPr>
          <w:rFonts w:cs="Arial"/>
        </w:rPr>
        <w:t xml:space="preserve"> separate strands</w:t>
      </w:r>
      <w:r w:rsidR="002A29C8">
        <w:rPr>
          <w:rFonts w:cs="Arial"/>
        </w:rPr>
        <w:t xml:space="preserve"> </w:t>
      </w:r>
      <w:r w:rsidR="00A02C88">
        <w:rPr>
          <w:rFonts w:cs="Arial"/>
        </w:rPr>
        <w:t>by</w:t>
      </w:r>
      <w:r w:rsidR="00140B45">
        <w:rPr>
          <w:rFonts w:cs="Arial"/>
        </w:rPr>
        <w:t xml:space="preserve"> </w:t>
      </w:r>
      <w:r w:rsidR="00F04751">
        <w:rPr>
          <w:rFonts w:cs="Arial"/>
        </w:rPr>
        <w:t>examin</w:t>
      </w:r>
      <w:r w:rsidR="00F64E16">
        <w:rPr>
          <w:rFonts w:cs="Arial"/>
        </w:rPr>
        <w:t>ing</w:t>
      </w:r>
      <w:r w:rsidR="00F04751">
        <w:rPr>
          <w:rFonts w:cs="Arial"/>
        </w:rPr>
        <w:t xml:space="preserve"> the extent to which</w:t>
      </w:r>
      <w:r w:rsidR="002A29C8">
        <w:rPr>
          <w:rFonts w:cs="Arial"/>
        </w:rPr>
        <w:t xml:space="preserve"> </w:t>
      </w:r>
      <w:r w:rsidR="009165CA">
        <w:rPr>
          <w:rFonts w:cs="Arial"/>
        </w:rPr>
        <w:t xml:space="preserve">graduate </w:t>
      </w:r>
      <w:r w:rsidR="002A29C8">
        <w:rPr>
          <w:rFonts w:cs="Arial"/>
        </w:rPr>
        <w:t xml:space="preserve">mobility affects the earnings </w:t>
      </w:r>
      <w:r w:rsidR="009165CA">
        <w:rPr>
          <w:rFonts w:cs="Arial"/>
        </w:rPr>
        <w:t>premium</w:t>
      </w:r>
      <w:r w:rsidR="002A29C8">
        <w:rPr>
          <w:rFonts w:cs="Arial"/>
        </w:rPr>
        <w:t xml:space="preserve"> over similarly qualified contemporaries.</w:t>
      </w:r>
      <w:r w:rsidR="00F64E16">
        <w:rPr>
          <w:rFonts w:cs="Arial"/>
        </w:rPr>
        <w:t xml:space="preserve"> We begin by </w:t>
      </w:r>
      <w:r w:rsidR="00C72CA5">
        <w:rPr>
          <w:rFonts w:cs="Arial"/>
        </w:rPr>
        <w:t xml:space="preserve">providing an overview of the </w:t>
      </w:r>
      <w:r w:rsidR="00140B45">
        <w:rPr>
          <w:rFonts w:cs="Arial"/>
        </w:rPr>
        <w:t xml:space="preserve">literature pertaining to the </w:t>
      </w:r>
      <w:r w:rsidR="00C72CA5">
        <w:rPr>
          <w:rFonts w:cs="Arial"/>
        </w:rPr>
        <w:t>graduate earnings premium followed by graduate mobility.</w:t>
      </w:r>
    </w:p>
    <w:p w:rsidR="002A29C8" w:rsidRDefault="002A29C8">
      <w:pPr>
        <w:spacing w:after="0" w:line="360" w:lineRule="auto"/>
        <w:jc w:val="both"/>
      </w:pPr>
    </w:p>
    <w:p w:rsidR="00C72CA5" w:rsidRDefault="002845F8">
      <w:pPr>
        <w:spacing w:after="0" w:line="360" w:lineRule="auto"/>
        <w:jc w:val="both"/>
      </w:pPr>
      <w:r>
        <w:t>3.1</w:t>
      </w:r>
      <w:r>
        <w:tab/>
      </w:r>
      <w:r w:rsidR="00C72CA5">
        <w:t>Graduate earnings p</w:t>
      </w:r>
      <w:r>
        <w:t>remium</w:t>
      </w:r>
    </w:p>
    <w:p w:rsidR="00D542AE" w:rsidRDefault="00CC6A22">
      <w:pPr>
        <w:spacing w:after="0" w:line="360" w:lineRule="auto"/>
        <w:jc w:val="both"/>
      </w:pPr>
      <w:r>
        <w:t>A number of papers have examined the financial returns to UK graduates</w:t>
      </w:r>
      <w:r w:rsidR="00C72CA5">
        <w:t>.</w:t>
      </w:r>
      <w:r>
        <w:t xml:space="preserve"> </w:t>
      </w:r>
      <w:r w:rsidR="00C72CA5">
        <w:t xml:space="preserve">Walker and Zhu (2011) and </w:t>
      </w:r>
      <w:r w:rsidR="00F80EAD">
        <w:t>O’Leary and Sloane (2005)</w:t>
      </w:r>
      <w:r w:rsidR="005B48E3">
        <w:t xml:space="preserve"> use the Labour Force Survey (LFS) and Chevalier (2011) the HESA longitudinal data to explore various aspects of rates of return to education. The  </w:t>
      </w:r>
      <w:r w:rsidR="00F80EAD">
        <w:t>find</w:t>
      </w:r>
      <w:r w:rsidR="005B48E3">
        <w:t>ings are broadly similar;</w:t>
      </w:r>
      <w:r w:rsidR="00F80EAD">
        <w:t xml:space="preserve"> while degrees as a whole lead to substantial increases in lifetime earnings there is substantial heterogeneity in returns across discipline. </w:t>
      </w:r>
      <w:r w:rsidR="005B48E3">
        <w:t xml:space="preserve">Degree class is also shown to have a large effect independent of discipline. </w:t>
      </w:r>
      <w:r w:rsidR="00F80EAD">
        <w:t>Further, the returns are greater for women than for men.</w:t>
      </w:r>
      <w:r w:rsidRPr="005B48E3" w:rsidR="005B48E3">
        <w:t xml:space="preserve"> </w:t>
      </w:r>
      <w:r w:rsidR="00F80EAD">
        <w:t xml:space="preserve">O’Leary and Sloane </w:t>
      </w:r>
      <w:r w:rsidR="004F4889">
        <w:t>(</w:t>
      </w:r>
      <w:r w:rsidR="00F80EAD">
        <w:t xml:space="preserve">2008) show that there are substantial regional variations in the returns to higher </w:t>
      </w:r>
      <w:r w:rsidR="00F80EAD">
        <w:lastRenderedPageBreak/>
        <w:t xml:space="preserve">education. However, adjusting for regional differences in the cost of living (including housing costs) substantially reduces </w:t>
      </w:r>
      <w:r w:rsidR="00140B45">
        <w:t>the variance</w:t>
      </w:r>
      <w:r w:rsidR="00F80EAD">
        <w:t xml:space="preserve">. </w:t>
      </w:r>
      <w:r w:rsidR="00A1603C">
        <w:t>More recently, O‘L</w:t>
      </w:r>
      <w:r w:rsidR="00BF5891">
        <w:t xml:space="preserve">eary and Sloane (2016) </w:t>
      </w:r>
      <w:r w:rsidR="00A1603C">
        <w:t>show that over the decade 2001-2010, a period associated with a rapid expansion of the UK higher education sector</w:t>
      </w:r>
      <w:r w:rsidR="00140B45">
        <w:t>,</w:t>
      </w:r>
      <w:r w:rsidR="00D542AE">
        <w:t xml:space="preserve"> </w:t>
      </w:r>
      <w:r w:rsidR="00A1603C">
        <w:t>the graduate wage premium declined marginally (but statistically significantly). They also identify</w:t>
      </w:r>
      <w:r w:rsidRPr="000D29A8" w:rsidR="00BF5891">
        <w:t xml:space="preserve"> a</w:t>
      </w:r>
      <w:r w:rsidR="00BF5891">
        <w:t>n upward</w:t>
      </w:r>
      <w:r w:rsidRPr="000D29A8" w:rsidR="00BF5891">
        <w:t xml:space="preserve"> shift in the likelihood of young British university graduates being e</w:t>
      </w:r>
      <w:r w:rsidR="00BF5891">
        <w:t xml:space="preserve">mployed in non-graduate jobs over the course of the </w:t>
      </w:r>
      <w:r w:rsidR="0066125F">
        <w:t>decade.</w:t>
      </w:r>
    </w:p>
    <w:p w:rsidR="00085D22" w:rsidRDefault="00085D22">
      <w:pPr>
        <w:spacing w:after="0" w:line="360" w:lineRule="auto"/>
        <w:jc w:val="both"/>
      </w:pPr>
    </w:p>
    <w:p w:rsidR="00C72CA5" w:rsidRDefault="002845F8">
      <w:pPr>
        <w:spacing w:after="0" w:line="360" w:lineRule="auto"/>
        <w:jc w:val="both"/>
      </w:pPr>
      <w:r>
        <w:t>3.2</w:t>
      </w:r>
      <w:r>
        <w:tab/>
        <w:t>Graduate mobility</w:t>
      </w:r>
    </w:p>
    <w:p w:rsidR="00E63365" w:rsidP="007920DD" w:rsidRDefault="00693D30">
      <w:pPr>
        <w:spacing w:after="0" w:line="360" w:lineRule="auto"/>
        <w:jc w:val="both"/>
      </w:pPr>
      <w:r>
        <w:t xml:space="preserve">Interest in graduate mobility has </w:t>
      </w:r>
      <w:r w:rsidR="00140B45">
        <w:t>spawned</w:t>
      </w:r>
      <w:r w:rsidR="00344300">
        <w:t xml:space="preserve"> </w:t>
      </w:r>
      <w:r>
        <w:t>a vast multi-disciplinary literature. There are a number of distinct themes</w:t>
      </w:r>
      <w:r w:rsidR="0098020E">
        <w:t>.</w:t>
      </w:r>
      <w:r w:rsidR="00924BEC">
        <w:t xml:space="preserve"> </w:t>
      </w:r>
      <w:r w:rsidR="004F086C">
        <w:t>W</w:t>
      </w:r>
      <w:r w:rsidR="00924BEC">
        <w:t>e identify</w:t>
      </w:r>
      <w:r w:rsidR="0098020E">
        <w:t xml:space="preserve"> four</w:t>
      </w:r>
      <w:r w:rsidR="00924BEC">
        <w:t xml:space="preserve"> below</w:t>
      </w:r>
      <w:r w:rsidR="00B77CA5">
        <w:t>.</w:t>
      </w:r>
      <w:r w:rsidR="00924BEC">
        <w:t xml:space="preserve"> </w:t>
      </w:r>
      <w:r w:rsidR="00CC00B7">
        <w:t>Most of the literature examines only a single dimension of mobility, i.e. either mobility from domicile to university or from university to employment</w:t>
      </w:r>
      <w:r w:rsidR="00085D22">
        <w:t xml:space="preserve">, </w:t>
      </w:r>
      <w:r w:rsidR="00B05FBC">
        <w:t>whereas our analysis examines both types of mobility simultaneously.</w:t>
      </w:r>
      <w:r w:rsidR="00085D22">
        <w:t xml:space="preserve"> </w:t>
      </w:r>
      <w:r w:rsidR="008464D6">
        <w:t>T</w:t>
      </w:r>
      <w:r w:rsidR="00A913ED">
        <w:t xml:space="preserve">he first theme revolves around </w:t>
      </w:r>
      <w:r w:rsidR="00924BEC">
        <w:t xml:space="preserve">identifying </w:t>
      </w:r>
      <w:r w:rsidR="00A913ED">
        <w:t>the key determinants and constraints underlying the different types of mobility.</w:t>
      </w:r>
      <w:r w:rsidR="00085D22">
        <w:t xml:space="preserve"> </w:t>
      </w:r>
      <w:r w:rsidR="00924BEC">
        <w:t xml:space="preserve">The following </w:t>
      </w:r>
      <w:r w:rsidR="00B544CA">
        <w:t xml:space="preserve">two </w:t>
      </w:r>
      <w:r w:rsidR="00924BEC">
        <w:t xml:space="preserve">themes relate to regional outcomes and </w:t>
      </w:r>
      <w:r w:rsidR="00A7124C">
        <w:t>field of study</w:t>
      </w:r>
      <w:r w:rsidR="00924BEC">
        <w:t>. These are somewhat tangential to the</w:t>
      </w:r>
      <w:r w:rsidR="007920DD">
        <w:t xml:space="preserve"> main focus of the current paper but help place our analysis in </w:t>
      </w:r>
      <w:r w:rsidR="00B77CA5">
        <w:t xml:space="preserve">a broader </w:t>
      </w:r>
      <w:r w:rsidR="007920DD">
        <w:t>context</w:t>
      </w:r>
      <w:r w:rsidR="00B77CA5">
        <w:t>.</w:t>
      </w:r>
      <w:r w:rsidR="007920DD">
        <w:t xml:space="preserve"> The final theme builds on the first and is closest to the current analysis in that it looks at both dimensions of graduate mobility, i.e. mobility to university and from university to </w:t>
      </w:r>
      <w:r w:rsidR="004F086C">
        <w:t xml:space="preserve">subsequent </w:t>
      </w:r>
      <w:r w:rsidR="007920DD">
        <w:t xml:space="preserve">employment. </w:t>
      </w:r>
      <w:r w:rsidR="00924BEC">
        <w:t xml:space="preserve"> </w:t>
      </w:r>
      <w:r w:rsidR="00CC00B7">
        <w:t xml:space="preserve"> </w:t>
      </w:r>
      <w:r>
        <w:t xml:space="preserve"> </w:t>
      </w:r>
    </w:p>
    <w:p w:rsidR="00C72CA5" w:rsidP="007920DD" w:rsidRDefault="00C72CA5">
      <w:pPr>
        <w:spacing w:after="0" w:line="360" w:lineRule="auto"/>
        <w:jc w:val="both"/>
      </w:pPr>
    </w:p>
    <w:p w:rsidRPr="00EA2312" w:rsidR="00394BC3" w:rsidP="001734E9" w:rsidRDefault="002845F8">
      <w:pPr>
        <w:spacing w:after="0" w:line="360" w:lineRule="auto"/>
        <w:jc w:val="both"/>
        <w:outlineLvl w:val="0"/>
      </w:pPr>
      <w:r>
        <w:rPr>
          <w:i/>
        </w:rPr>
        <w:t>3.2.</w:t>
      </w:r>
      <w:r w:rsidRPr="00EA2312" w:rsidR="00394BC3">
        <w:rPr>
          <w:i/>
        </w:rPr>
        <w:t>1</w:t>
      </w:r>
      <w:r>
        <w:rPr>
          <w:i/>
        </w:rPr>
        <w:tab/>
      </w:r>
      <w:r w:rsidRPr="00EA2312" w:rsidR="00A913ED">
        <w:rPr>
          <w:i/>
        </w:rPr>
        <w:t xml:space="preserve">Determinants and type of </w:t>
      </w:r>
      <w:r w:rsidRPr="00EA2312" w:rsidR="00394BC3">
        <w:rPr>
          <w:i/>
        </w:rPr>
        <w:t xml:space="preserve"> </w:t>
      </w:r>
      <w:r w:rsidRPr="00EA2312" w:rsidR="00A913ED">
        <w:rPr>
          <w:i/>
        </w:rPr>
        <w:t>m</w:t>
      </w:r>
      <w:r w:rsidRPr="00EA2312" w:rsidR="00394BC3">
        <w:rPr>
          <w:i/>
        </w:rPr>
        <w:t>obility</w:t>
      </w:r>
    </w:p>
    <w:p w:rsidR="006F6949" w:rsidP="00B63F4C" w:rsidRDefault="00A0008D">
      <w:pPr>
        <w:spacing w:after="0" w:line="360" w:lineRule="auto"/>
        <w:jc w:val="both"/>
      </w:pPr>
      <w:r>
        <w:t xml:space="preserve">A number of </w:t>
      </w:r>
      <w:r w:rsidRPr="00394BC3" w:rsidR="00394BC3">
        <w:t>studies focus on the first stage of mobility and consider various constraints including distance from place of residence to the nearest university. See,</w:t>
      </w:r>
      <w:r w:rsidR="000D01CC">
        <w:t xml:space="preserve"> </w:t>
      </w:r>
      <w:r w:rsidR="004B279A">
        <w:t>for example, Denzler and Wolter (2011)</w:t>
      </w:r>
      <w:r w:rsidRPr="00394BC3" w:rsidR="00394BC3">
        <w:t xml:space="preserve"> for Switzerland. Other studies focus on the second stage of mobility</w:t>
      </w:r>
      <w:r w:rsidR="005D71E2">
        <w:t>, i.e. university to first empl</w:t>
      </w:r>
      <w:r w:rsidR="004F4889">
        <w:t>o</w:t>
      </w:r>
      <w:r w:rsidR="005D71E2">
        <w:t>yment</w:t>
      </w:r>
      <w:r w:rsidR="005603FE">
        <w:t xml:space="preserve">, see </w:t>
      </w:r>
      <w:r w:rsidRPr="00394BC3" w:rsidR="005603FE">
        <w:t xml:space="preserve"> Winters (2012)</w:t>
      </w:r>
      <w:r w:rsidR="005603FE">
        <w:t xml:space="preserve">.  </w:t>
      </w:r>
      <w:r w:rsidR="00B05FBC">
        <w:t xml:space="preserve">This US study </w:t>
      </w:r>
      <w:r w:rsidR="005603FE">
        <w:t>point</w:t>
      </w:r>
      <w:r w:rsidR="00B05FBC">
        <w:t>s</w:t>
      </w:r>
      <w:r w:rsidR="005603FE">
        <w:t xml:space="preserve"> to </w:t>
      </w:r>
      <w:r w:rsidRPr="00394BC3" w:rsidR="00394BC3">
        <w:t xml:space="preserve">size of university and </w:t>
      </w:r>
      <w:r w:rsidR="00912202">
        <w:t xml:space="preserve">regional </w:t>
      </w:r>
      <w:r w:rsidRPr="00394BC3" w:rsidR="00394BC3">
        <w:t xml:space="preserve">location </w:t>
      </w:r>
      <w:r w:rsidR="005603FE">
        <w:t xml:space="preserve">as key determinants </w:t>
      </w:r>
      <w:r w:rsidR="00B05FBC">
        <w:t>of mobility.</w:t>
      </w:r>
      <w:r w:rsidR="00912202">
        <w:t xml:space="preserve"> The results suggest </w:t>
      </w:r>
      <w:r w:rsidRPr="00394BC3" w:rsidR="00394BC3">
        <w:t xml:space="preserve">that both earnings and occupational level </w:t>
      </w:r>
      <w:r w:rsidR="00DC1C05">
        <w:t>are</w:t>
      </w:r>
      <w:r w:rsidRPr="00394BC3" w:rsidR="00DC1C05">
        <w:t xml:space="preserve"> </w:t>
      </w:r>
      <w:r w:rsidRPr="00394BC3" w:rsidR="00394BC3">
        <w:t xml:space="preserve">lower for those who </w:t>
      </w:r>
      <w:r w:rsidR="00912202">
        <w:t>remain in the region of their university</w:t>
      </w:r>
      <w:r w:rsidRPr="00394BC3" w:rsidR="00394BC3">
        <w:t xml:space="preserve"> </w:t>
      </w:r>
      <w:r w:rsidR="001734E9">
        <w:t>vis-a-vis</w:t>
      </w:r>
      <w:r w:rsidRPr="00394BC3" w:rsidR="00394BC3">
        <w:t xml:space="preserve"> those who </w:t>
      </w:r>
      <w:r w:rsidR="00DC1C05">
        <w:t>move</w:t>
      </w:r>
      <w:r w:rsidRPr="00394BC3" w:rsidR="00394BC3">
        <w:t xml:space="preserve">. </w:t>
      </w:r>
      <w:r w:rsidRPr="00394BC3" w:rsidR="00DC1C05">
        <w:t>Mellander</w:t>
      </w:r>
      <w:r w:rsidR="00B75065">
        <w:t xml:space="preserve"> et al.</w:t>
      </w:r>
      <w:r w:rsidRPr="00394BC3" w:rsidR="00DC1C05">
        <w:t xml:space="preserve"> (2011)</w:t>
      </w:r>
      <w:r w:rsidR="00085D22">
        <w:t xml:space="preserve">, </w:t>
      </w:r>
      <w:r w:rsidR="00140B45">
        <w:t>also using US data</w:t>
      </w:r>
      <w:r w:rsidR="00085D22">
        <w:t xml:space="preserve">, </w:t>
      </w:r>
      <w:r w:rsidR="00DC1C05">
        <w:t>suggest that s</w:t>
      </w:r>
      <w:r w:rsidRPr="00394BC3" w:rsidR="00394BC3">
        <w:t>atisfaction with the local community play</w:t>
      </w:r>
      <w:r w:rsidR="00DC1C05">
        <w:t>s</w:t>
      </w:r>
      <w:r w:rsidRPr="00394BC3" w:rsidR="00394BC3">
        <w:t xml:space="preserve"> the dominant role in the decision to stay</w:t>
      </w:r>
      <w:r w:rsidR="00DC1C05">
        <w:t>.</w:t>
      </w:r>
      <w:r w:rsidRPr="00394BC3" w:rsidR="00394BC3">
        <w:t xml:space="preserve"> Venhorst</w:t>
      </w:r>
      <w:r w:rsidR="0089634E">
        <w:t xml:space="preserve"> et al.</w:t>
      </w:r>
      <w:r w:rsidRPr="00394BC3" w:rsidR="00394BC3">
        <w:t xml:space="preserve"> (2011) </w:t>
      </w:r>
      <w:r>
        <w:t>demonstrate</w:t>
      </w:r>
      <w:r w:rsidRPr="00394BC3">
        <w:t xml:space="preserve"> </w:t>
      </w:r>
      <w:r w:rsidRPr="00394BC3" w:rsidR="00394BC3">
        <w:t>that local labour market conditions play a key role in retaining graduates in regions of the Netherlands and Biagi</w:t>
      </w:r>
      <w:r w:rsidR="00B75065">
        <w:t xml:space="preserve"> et al. </w:t>
      </w:r>
      <w:r w:rsidRPr="00394BC3" w:rsidR="00394BC3">
        <w:t xml:space="preserve">(2011) </w:t>
      </w:r>
      <w:r>
        <w:t>report</w:t>
      </w:r>
      <w:r w:rsidRPr="00394BC3">
        <w:t xml:space="preserve"> </w:t>
      </w:r>
      <w:r w:rsidRPr="00394BC3" w:rsidR="00394BC3">
        <w:t xml:space="preserve">that economic, social and environmental characteristics perform a similar </w:t>
      </w:r>
      <w:r>
        <w:t>role</w:t>
      </w:r>
      <w:r w:rsidRPr="00394BC3">
        <w:t xml:space="preserve"> </w:t>
      </w:r>
      <w:r w:rsidRPr="00394BC3" w:rsidR="00394BC3">
        <w:t xml:space="preserve">in Italy. </w:t>
      </w:r>
    </w:p>
    <w:p w:rsidR="00140B45" w:rsidP="00B63F4C" w:rsidRDefault="00140B45">
      <w:pPr>
        <w:spacing w:after="0" w:line="360" w:lineRule="auto"/>
        <w:jc w:val="both"/>
      </w:pPr>
    </w:p>
    <w:p w:rsidR="008A05F6" w:rsidP="00B63F4C" w:rsidRDefault="006F6949">
      <w:pPr>
        <w:spacing w:after="0" w:line="360" w:lineRule="auto"/>
        <w:jc w:val="both"/>
      </w:pPr>
      <w:r>
        <w:t>In a related literature</w:t>
      </w:r>
      <w:r w:rsidR="0020463D">
        <w:t>,</w:t>
      </w:r>
      <w:r>
        <w:t xml:space="preserve"> t</w:t>
      </w:r>
      <w:r w:rsidRPr="00394BC3" w:rsidR="00394BC3">
        <w:t>he nature of job search and its impact have been shown to play an important role in labour markets in general (see, for example, Sloane</w:t>
      </w:r>
      <w:r w:rsidR="00B75065">
        <w:t xml:space="preserve"> et al.,</w:t>
      </w:r>
      <w:r w:rsidRPr="00394BC3" w:rsidR="00394BC3">
        <w:t xml:space="preserve"> 2013), but there is limited work on the role of job search in the context of graduate mobility and earnings. </w:t>
      </w:r>
      <w:r w:rsidR="00C32F56">
        <w:t xml:space="preserve">A recent paper by </w:t>
      </w:r>
      <w:r w:rsidR="001E710C">
        <w:t xml:space="preserve">Pirog </w:t>
      </w:r>
      <w:r w:rsidR="001E710C">
        <w:lastRenderedPageBreak/>
        <w:t>(2016</w:t>
      </w:r>
      <w:r w:rsidRPr="00394BC3" w:rsidR="00394BC3">
        <w:t xml:space="preserve">) </w:t>
      </w:r>
      <w:r w:rsidR="00C32F56">
        <w:t>suggests that type of search</w:t>
      </w:r>
      <w:r w:rsidRPr="00394BC3" w:rsidR="00394BC3">
        <w:t xml:space="preserve"> activity </w:t>
      </w:r>
      <w:r w:rsidR="00C32F56">
        <w:t>plays a significant role</w:t>
      </w:r>
      <w:r w:rsidRPr="00394BC3" w:rsidR="00394BC3">
        <w:t xml:space="preserve"> in predicting the success of Polish geography graduates in finding employment.</w:t>
      </w:r>
    </w:p>
    <w:p w:rsidR="004B279A" w:rsidP="00B63F4C" w:rsidRDefault="004B279A">
      <w:pPr>
        <w:spacing w:after="0" w:line="360" w:lineRule="auto"/>
        <w:jc w:val="both"/>
      </w:pPr>
    </w:p>
    <w:p w:rsidRPr="00EA2312" w:rsidR="00394BC3" w:rsidP="001734E9" w:rsidRDefault="002845F8">
      <w:pPr>
        <w:spacing w:after="0" w:line="360" w:lineRule="auto"/>
        <w:jc w:val="both"/>
        <w:outlineLvl w:val="0"/>
        <w:rPr>
          <w:i/>
        </w:rPr>
      </w:pPr>
      <w:r>
        <w:rPr>
          <w:i/>
        </w:rPr>
        <w:t>3.2.</w:t>
      </w:r>
      <w:r w:rsidRPr="00EA2312" w:rsidR="006E731B">
        <w:rPr>
          <w:i/>
        </w:rPr>
        <w:t>2</w:t>
      </w:r>
      <w:r>
        <w:rPr>
          <w:i/>
        </w:rPr>
        <w:tab/>
      </w:r>
      <w:r w:rsidRPr="00EA2312" w:rsidR="00394BC3">
        <w:rPr>
          <w:i/>
        </w:rPr>
        <w:t xml:space="preserve">Regional </w:t>
      </w:r>
      <w:r w:rsidRPr="00EA2312" w:rsidR="00470B7B">
        <w:rPr>
          <w:i/>
        </w:rPr>
        <w:t>o</w:t>
      </w:r>
      <w:r w:rsidRPr="00EA2312" w:rsidR="00394BC3">
        <w:rPr>
          <w:i/>
        </w:rPr>
        <w:t>utcomes</w:t>
      </w:r>
    </w:p>
    <w:p w:rsidR="000524F4" w:rsidP="00B63F4C" w:rsidRDefault="00394BC3">
      <w:pPr>
        <w:spacing w:after="0" w:line="360" w:lineRule="auto"/>
        <w:jc w:val="both"/>
      </w:pPr>
      <w:r w:rsidRPr="00394BC3">
        <w:t xml:space="preserve">Rural/urban considerations </w:t>
      </w:r>
      <w:r w:rsidR="00E7544D">
        <w:t>are</w:t>
      </w:r>
      <w:r w:rsidRPr="00394BC3" w:rsidR="00E7544D">
        <w:t xml:space="preserve"> </w:t>
      </w:r>
      <w:r w:rsidRPr="00394BC3">
        <w:t>the focus of studies by Corcoran</w:t>
      </w:r>
      <w:r w:rsidR="0089634E">
        <w:t xml:space="preserve"> et al.</w:t>
      </w:r>
      <w:r w:rsidRPr="00394BC3">
        <w:t xml:space="preserve"> (2010) for Australia and Ahlin</w:t>
      </w:r>
      <w:r w:rsidR="00B75065">
        <w:t xml:space="preserve"> et al.</w:t>
      </w:r>
      <w:r w:rsidRPr="00394BC3">
        <w:t xml:space="preserve"> (2014) for Sweden. Large </w:t>
      </w:r>
      <w:r w:rsidR="00470B7B">
        <w:t>u</w:t>
      </w:r>
      <w:r w:rsidRPr="00394BC3">
        <w:t xml:space="preserve">rban regions provide a broader market for skills which translate into a higher probability of </w:t>
      </w:r>
      <w:r w:rsidRPr="00394BC3" w:rsidR="00DF5EBE">
        <w:t>employ</w:t>
      </w:r>
      <w:r w:rsidR="00DF5EBE">
        <w:t>ment</w:t>
      </w:r>
      <w:r w:rsidRPr="00394BC3">
        <w:t xml:space="preserve">, higher initial wages and greater wage growth. Regional impact studies include Osborne et al. (1987) for Northern Ireland and Bristow et al. (2011) for Wales. In both cases a net loss of </w:t>
      </w:r>
      <w:r w:rsidR="00E7544D">
        <w:t>high quality</w:t>
      </w:r>
      <w:r w:rsidRPr="00394BC3" w:rsidR="00E7544D">
        <w:t xml:space="preserve"> </w:t>
      </w:r>
      <w:r w:rsidRPr="00394BC3">
        <w:t>graduates to other regions is of concern. In the case of Italy</w:t>
      </w:r>
      <w:r w:rsidR="00E7544D">
        <w:t>,</w:t>
      </w:r>
      <w:r w:rsidRPr="00394BC3">
        <w:t xml:space="preserve"> Dotti et al. (2013) </w:t>
      </w:r>
      <w:r w:rsidR="00E7544D">
        <w:t>report</w:t>
      </w:r>
      <w:r w:rsidRPr="00394BC3" w:rsidR="00E7544D">
        <w:t xml:space="preserve"> </w:t>
      </w:r>
      <w:r w:rsidRPr="00394BC3">
        <w:t xml:space="preserve">that the ability to attract </w:t>
      </w:r>
      <w:r w:rsidR="00F13B0A">
        <w:t>high quality</w:t>
      </w:r>
      <w:r w:rsidRPr="00394BC3" w:rsidR="00F13B0A">
        <w:t xml:space="preserve"> </w:t>
      </w:r>
      <w:r w:rsidRPr="00394BC3">
        <w:t xml:space="preserve">students from </w:t>
      </w:r>
      <w:r w:rsidR="00B544CA">
        <w:t>other</w:t>
      </w:r>
      <w:r w:rsidRPr="00394BC3" w:rsidR="00B544CA">
        <w:t xml:space="preserve"> </w:t>
      </w:r>
      <w:r w:rsidRPr="00394BC3">
        <w:t xml:space="preserve">regions </w:t>
      </w:r>
      <w:r w:rsidRPr="00394BC3" w:rsidR="00E7544D">
        <w:t>depend</w:t>
      </w:r>
      <w:r w:rsidR="00E7544D">
        <w:t>s</w:t>
      </w:r>
      <w:r w:rsidRPr="00394BC3" w:rsidR="00E7544D">
        <w:t xml:space="preserve"> </w:t>
      </w:r>
      <w:r w:rsidR="000524F4">
        <w:t xml:space="preserve">crucially </w:t>
      </w:r>
      <w:r w:rsidRPr="00394BC3">
        <w:t xml:space="preserve">on local labour market conditions in </w:t>
      </w:r>
      <w:r w:rsidR="000478E4">
        <w:t xml:space="preserve">both </w:t>
      </w:r>
      <w:r w:rsidR="000524F4">
        <w:t>origin and destination locations.</w:t>
      </w:r>
      <w:r w:rsidRPr="00394BC3">
        <w:t xml:space="preserve"> </w:t>
      </w:r>
      <w:r w:rsidR="00BA57DA">
        <w:t>I</w:t>
      </w:r>
      <w:r w:rsidRPr="00394BC3">
        <w:t xml:space="preserve">ammorino and Marinelli (2013) </w:t>
      </w:r>
      <w:r w:rsidR="000524F4">
        <w:t>suggest</w:t>
      </w:r>
      <w:r w:rsidRPr="00394BC3" w:rsidR="000524F4">
        <w:t xml:space="preserve"> </w:t>
      </w:r>
      <w:r w:rsidRPr="00394BC3">
        <w:t xml:space="preserve">that </w:t>
      </w:r>
      <w:r w:rsidR="000524F4">
        <w:t xml:space="preserve">greater </w:t>
      </w:r>
      <w:r w:rsidRPr="00394BC3">
        <w:t xml:space="preserve">regional migration of graduates in Italy </w:t>
      </w:r>
      <w:r w:rsidR="000524F4">
        <w:t>w</w:t>
      </w:r>
      <w:r w:rsidRPr="00394BC3" w:rsidR="000524F4">
        <w:t xml:space="preserve">ould </w:t>
      </w:r>
      <w:r w:rsidR="000524F4">
        <w:t>contribute significantly to</w:t>
      </w:r>
      <w:r w:rsidRPr="00394BC3">
        <w:t xml:space="preserve"> </w:t>
      </w:r>
      <w:r w:rsidRPr="00394BC3" w:rsidR="000524F4">
        <w:t>reduc</w:t>
      </w:r>
      <w:r w:rsidR="000524F4">
        <w:t>ing</w:t>
      </w:r>
      <w:r w:rsidRPr="00394BC3" w:rsidR="000524F4">
        <w:t xml:space="preserve"> </w:t>
      </w:r>
      <w:r w:rsidRPr="00394BC3">
        <w:t xml:space="preserve">labour market mismatch. </w:t>
      </w:r>
    </w:p>
    <w:p w:rsidR="000524F4" w:rsidP="00B63F4C" w:rsidRDefault="000524F4">
      <w:pPr>
        <w:spacing w:after="0" w:line="360" w:lineRule="auto"/>
        <w:jc w:val="both"/>
      </w:pPr>
    </w:p>
    <w:p w:rsidRPr="00394BC3" w:rsidR="00394BC3" w:rsidP="00B63F4C" w:rsidRDefault="00394BC3">
      <w:pPr>
        <w:spacing w:after="0" w:line="360" w:lineRule="auto"/>
        <w:jc w:val="both"/>
      </w:pPr>
      <w:r w:rsidRPr="00394BC3">
        <w:t>A number of studies examine knowledge spillovers between universities and high tech</w:t>
      </w:r>
      <w:r w:rsidR="000524F4">
        <w:t>nology</w:t>
      </w:r>
      <w:r w:rsidRPr="00394BC3">
        <w:t xml:space="preserve"> firms. Faggian and McCann (2008) conclude that universities serve first and foremost to draw </w:t>
      </w:r>
      <w:r w:rsidR="001C5A9F">
        <w:t xml:space="preserve">individuals with </w:t>
      </w:r>
      <w:r w:rsidRPr="00394BC3">
        <w:t xml:space="preserve">high quality human capital into regions, </w:t>
      </w:r>
      <w:r w:rsidR="002E63FD">
        <w:t xml:space="preserve">contributing </w:t>
      </w:r>
      <w:r w:rsidR="000524F4">
        <w:t>to</w:t>
      </w:r>
      <w:r w:rsidRPr="00394BC3">
        <w:t xml:space="preserve"> regional innovation. Similarly, Faggian and McCann (2009</w:t>
      </w:r>
      <w:r w:rsidR="000F544F">
        <w:t>b</w:t>
      </w:r>
      <w:r w:rsidRPr="00394BC3">
        <w:t>) examine the relationship between inter-regional flows of graduates and regional innovation performance in Britain</w:t>
      </w:r>
      <w:r w:rsidR="00085D22">
        <w:t>.</w:t>
      </w:r>
      <w:r w:rsidR="00F13B0A">
        <w:rPr>
          <w:rStyle w:val="EndnoteReference"/>
        </w:rPr>
        <w:endnoteReference w:id="3"/>
      </w:r>
      <w:r w:rsidR="00085D22">
        <w:t xml:space="preserve"> </w:t>
      </w:r>
      <w:r w:rsidRPr="00394BC3" w:rsidR="000524F4">
        <w:t>Faggian and McCann (200</w:t>
      </w:r>
      <w:r w:rsidR="000F544F">
        <w:t>9</w:t>
      </w:r>
      <w:r w:rsidRPr="00394BC3" w:rsidR="000524F4">
        <w:t>b)</w:t>
      </w:r>
      <w:r w:rsidR="000524F4">
        <w:t xml:space="preserve"> suggest that Britain is characterised by d</w:t>
      </w:r>
      <w:r w:rsidRPr="00394BC3">
        <w:t>istinct periphery-centre flows</w:t>
      </w:r>
      <w:r w:rsidR="000524F4">
        <w:t>.</w:t>
      </w:r>
    </w:p>
    <w:p w:rsidR="0020463D" w:rsidP="00B63F4C" w:rsidRDefault="0020463D">
      <w:pPr>
        <w:spacing w:after="0" w:line="360" w:lineRule="auto"/>
        <w:jc w:val="both"/>
        <w:rPr>
          <w:i/>
        </w:rPr>
      </w:pPr>
    </w:p>
    <w:p w:rsidRPr="00EA2312" w:rsidR="00394BC3" w:rsidP="001734E9" w:rsidRDefault="002845F8">
      <w:pPr>
        <w:spacing w:after="0" w:line="360" w:lineRule="auto"/>
        <w:jc w:val="both"/>
        <w:outlineLvl w:val="0"/>
        <w:rPr>
          <w:i/>
        </w:rPr>
      </w:pPr>
      <w:r>
        <w:rPr>
          <w:i/>
        </w:rPr>
        <w:t>3.2.</w:t>
      </w:r>
      <w:r w:rsidRPr="00EA2312" w:rsidR="006E731B">
        <w:rPr>
          <w:i/>
        </w:rPr>
        <w:t>3</w:t>
      </w:r>
      <w:r>
        <w:rPr>
          <w:i/>
        </w:rPr>
        <w:tab/>
      </w:r>
      <w:r w:rsidRPr="00EA2312" w:rsidR="00394BC3">
        <w:rPr>
          <w:i/>
        </w:rPr>
        <w:t xml:space="preserve">Graduate </w:t>
      </w:r>
      <w:r w:rsidRPr="00EA2312" w:rsidR="00470B7B">
        <w:rPr>
          <w:i/>
        </w:rPr>
        <w:t>d</w:t>
      </w:r>
      <w:r w:rsidRPr="00EA2312" w:rsidR="00394BC3">
        <w:rPr>
          <w:i/>
        </w:rPr>
        <w:t>isciplines</w:t>
      </w:r>
    </w:p>
    <w:p w:rsidRPr="00394BC3" w:rsidR="00394BC3" w:rsidP="00B63F4C" w:rsidRDefault="00BE4C0A">
      <w:pPr>
        <w:spacing w:after="0" w:line="360" w:lineRule="auto"/>
        <w:jc w:val="both"/>
      </w:pPr>
      <w:r>
        <w:t>The patt</w:t>
      </w:r>
      <w:r w:rsidR="00AB4F5B">
        <w:t>ern of mobility</w:t>
      </w:r>
      <w:r w:rsidR="00D72F57">
        <w:t xml:space="preserve"> </w:t>
      </w:r>
      <w:r>
        <w:t xml:space="preserve">differentiated by type, </w:t>
      </w:r>
      <w:r w:rsidR="00085D22">
        <w:t xml:space="preserve">and in particular </w:t>
      </w:r>
      <w:r>
        <w:t>field</w:t>
      </w:r>
      <w:r w:rsidR="00085D22">
        <w:t xml:space="preserve"> </w:t>
      </w:r>
      <w:r>
        <w:t>of study</w:t>
      </w:r>
      <w:r w:rsidR="00085D22">
        <w:t xml:space="preserve"> </w:t>
      </w:r>
      <w:r w:rsidR="00140B45">
        <w:t>is</w:t>
      </w:r>
      <w:r w:rsidRPr="00394BC3" w:rsidR="00394BC3">
        <w:t xml:space="preserve"> the focus of </w:t>
      </w:r>
      <w:r w:rsidR="00AB4F5B">
        <w:t>a number</w:t>
      </w:r>
      <w:r w:rsidRPr="00394BC3" w:rsidR="00394BC3">
        <w:t xml:space="preserve"> </w:t>
      </w:r>
      <w:r w:rsidR="00D72F57">
        <w:t xml:space="preserve">of </w:t>
      </w:r>
      <w:r w:rsidRPr="00394BC3" w:rsidR="00394BC3">
        <w:t>studies.</w:t>
      </w:r>
      <w:r w:rsidR="00BF5891">
        <w:t xml:space="preserve"> </w:t>
      </w:r>
      <w:r w:rsidRPr="00394BC3" w:rsidR="00394BC3">
        <w:t>Faggian</w:t>
      </w:r>
      <w:r w:rsidR="00B75065">
        <w:t xml:space="preserve"> et al.</w:t>
      </w:r>
      <w:r w:rsidRPr="00394BC3" w:rsidR="00394BC3">
        <w:t xml:space="preserve"> (2007a) </w:t>
      </w:r>
      <w:r>
        <w:t>report</w:t>
      </w:r>
      <w:r w:rsidRPr="00394BC3">
        <w:t xml:space="preserve"> </w:t>
      </w:r>
      <w:r w:rsidRPr="00394BC3" w:rsidR="00394BC3">
        <w:t xml:space="preserve">that graduates with arts degrees </w:t>
      </w:r>
      <w:r w:rsidR="00300275">
        <w:t>demonstrate</w:t>
      </w:r>
      <w:r w:rsidRPr="00394BC3" w:rsidR="00300275">
        <w:t xml:space="preserve"> </w:t>
      </w:r>
      <w:r w:rsidRPr="00394BC3" w:rsidR="00394BC3">
        <w:t>less post-graduation mobility than those with a degree in science or social science. Mosca and Wright (2010) note</w:t>
      </w:r>
      <w:r w:rsidR="00300275">
        <w:t xml:space="preserve"> </w:t>
      </w:r>
      <w:r w:rsidRPr="00394BC3" w:rsidR="00394BC3">
        <w:t>that male graduates</w:t>
      </w:r>
      <w:r w:rsidR="00D72F57">
        <w:t>,</w:t>
      </w:r>
      <w:r w:rsidRPr="00394BC3" w:rsidR="00394BC3">
        <w:t xml:space="preserve"> those with better degrees, </w:t>
      </w:r>
      <w:r w:rsidR="00F86E7C">
        <w:t xml:space="preserve">from </w:t>
      </w:r>
      <w:r w:rsidRPr="00394BC3" w:rsidR="00394BC3">
        <w:t xml:space="preserve">more highly </w:t>
      </w:r>
      <w:r w:rsidR="00300275">
        <w:t>ranked</w:t>
      </w:r>
      <w:r w:rsidRPr="00394BC3" w:rsidR="00300275">
        <w:t xml:space="preserve"> </w:t>
      </w:r>
      <w:r w:rsidRPr="00394BC3" w:rsidR="00394BC3">
        <w:t xml:space="preserve">institutions and </w:t>
      </w:r>
      <w:r w:rsidR="00D356C4">
        <w:t xml:space="preserve">those </w:t>
      </w:r>
      <w:r w:rsidRPr="00394BC3" w:rsidR="00394BC3">
        <w:t xml:space="preserve">who </w:t>
      </w:r>
      <w:r w:rsidR="00912202">
        <w:t xml:space="preserve">have </w:t>
      </w:r>
      <w:r w:rsidRPr="00394BC3" w:rsidR="00394BC3">
        <w:t xml:space="preserve">already </w:t>
      </w:r>
      <w:r w:rsidR="00912202">
        <w:t>changed</w:t>
      </w:r>
      <w:r w:rsidRPr="00394BC3" w:rsidR="00912202">
        <w:t xml:space="preserve"> </w:t>
      </w:r>
      <w:r w:rsidRPr="00394BC3" w:rsidR="00394BC3">
        <w:t>region to study</w:t>
      </w:r>
      <w:r w:rsidR="00D72F57">
        <w:t xml:space="preserve"> are more likely to migrate</w:t>
      </w:r>
      <w:r w:rsidR="00140B45">
        <w:t xml:space="preserve"> for employment</w:t>
      </w:r>
      <w:r w:rsidRPr="00394BC3" w:rsidR="00394BC3">
        <w:t xml:space="preserve">. </w:t>
      </w:r>
      <w:r w:rsidR="00300275">
        <w:t>Interestingly</w:t>
      </w:r>
      <w:r w:rsidR="001F34B8">
        <w:t>,</w:t>
      </w:r>
      <w:r w:rsidR="00300275">
        <w:t xml:space="preserve"> this contrasts with </w:t>
      </w:r>
      <w:r w:rsidRPr="00394BC3" w:rsidR="00394BC3">
        <w:t xml:space="preserve">Faggian et al. (2007a) who </w:t>
      </w:r>
      <w:r w:rsidR="00300275">
        <w:t>find</w:t>
      </w:r>
      <w:r w:rsidRPr="00394BC3" w:rsidR="00300275">
        <w:t xml:space="preserve"> </w:t>
      </w:r>
      <w:r w:rsidRPr="00394BC3" w:rsidR="00394BC3">
        <w:t xml:space="preserve">that British female graduates </w:t>
      </w:r>
      <w:r w:rsidR="00300275">
        <w:t>are</w:t>
      </w:r>
      <w:r w:rsidRPr="00394BC3" w:rsidR="00300275">
        <w:t xml:space="preserve"> </w:t>
      </w:r>
      <w:r w:rsidRPr="00394BC3" w:rsidR="00394BC3">
        <w:t xml:space="preserve">more mobile than their male counterparts. Similar results </w:t>
      </w:r>
      <w:r w:rsidR="00300275">
        <w:t>are reported</w:t>
      </w:r>
      <w:r w:rsidRPr="00394BC3" w:rsidR="00394BC3">
        <w:t xml:space="preserve"> for Italy by Coniglio and Prota (2008) and for the Netherlands by Venhorst</w:t>
      </w:r>
      <w:r w:rsidR="00B75065">
        <w:t xml:space="preserve"> et al.</w:t>
      </w:r>
      <w:r w:rsidRPr="00394BC3" w:rsidR="00394BC3">
        <w:t xml:space="preserve"> (201</w:t>
      </w:r>
      <w:r w:rsidR="009B3331">
        <w:t>1</w:t>
      </w:r>
      <w:r w:rsidRPr="00394BC3" w:rsidR="00394BC3">
        <w:t>).</w:t>
      </w:r>
      <w:r w:rsidR="0083628E">
        <w:t xml:space="preserve"> </w:t>
      </w:r>
      <w:r w:rsidRPr="00394BC3" w:rsidR="00394BC3">
        <w:t xml:space="preserve">Wright (2011) </w:t>
      </w:r>
      <w:r w:rsidRPr="00394BC3" w:rsidR="00300275">
        <w:t>note</w:t>
      </w:r>
      <w:r w:rsidR="00300275">
        <w:t>s</w:t>
      </w:r>
      <w:r w:rsidRPr="00394BC3" w:rsidR="00300275">
        <w:t xml:space="preserve"> </w:t>
      </w:r>
      <w:r w:rsidRPr="00394BC3" w:rsidR="00394BC3">
        <w:t xml:space="preserve">that public sector employment </w:t>
      </w:r>
      <w:r w:rsidR="00300275">
        <w:t>is</w:t>
      </w:r>
      <w:r w:rsidRPr="00394BC3" w:rsidR="00300275">
        <w:t xml:space="preserve"> </w:t>
      </w:r>
      <w:r w:rsidRPr="00394BC3" w:rsidR="00394BC3">
        <w:t xml:space="preserve">particularly important for </w:t>
      </w:r>
      <w:r w:rsidR="004B279A">
        <w:t xml:space="preserve">UK </w:t>
      </w:r>
      <w:r w:rsidRPr="00394BC3" w:rsidR="00394BC3">
        <w:t>graduates</w:t>
      </w:r>
      <w:r w:rsidR="00BF5891">
        <w:t>, especially outside of London.</w:t>
      </w:r>
    </w:p>
    <w:p w:rsidR="004B279A" w:rsidP="001734E9" w:rsidRDefault="004B279A">
      <w:pPr>
        <w:spacing w:after="0" w:line="360" w:lineRule="auto"/>
        <w:jc w:val="both"/>
        <w:outlineLvl w:val="0"/>
        <w:rPr>
          <w:i/>
        </w:rPr>
      </w:pPr>
    </w:p>
    <w:p w:rsidR="004B279A" w:rsidP="001734E9" w:rsidRDefault="004B279A">
      <w:pPr>
        <w:spacing w:after="0" w:line="360" w:lineRule="auto"/>
        <w:jc w:val="both"/>
        <w:outlineLvl w:val="0"/>
        <w:rPr>
          <w:i/>
        </w:rPr>
      </w:pPr>
    </w:p>
    <w:p w:rsidR="004B279A" w:rsidP="001734E9" w:rsidRDefault="004B279A">
      <w:pPr>
        <w:spacing w:after="0" w:line="360" w:lineRule="auto"/>
        <w:jc w:val="both"/>
        <w:outlineLvl w:val="0"/>
        <w:rPr>
          <w:i/>
        </w:rPr>
      </w:pPr>
    </w:p>
    <w:p w:rsidRPr="00EA2312" w:rsidR="00394BC3" w:rsidP="001734E9" w:rsidRDefault="002845F8">
      <w:pPr>
        <w:spacing w:after="0" w:line="360" w:lineRule="auto"/>
        <w:jc w:val="both"/>
        <w:outlineLvl w:val="0"/>
        <w:rPr>
          <w:i/>
        </w:rPr>
      </w:pPr>
      <w:r>
        <w:rPr>
          <w:i/>
        </w:rPr>
        <w:lastRenderedPageBreak/>
        <w:t>3.2.</w:t>
      </w:r>
      <w:r w:rsidRPr="00EA2312" w:rsidR="006C5B56">
        <w:rPr>
          <w:i/>
        </w:rPr>
        <w:t>4</w:t>
      </w:r>
      <w:r>
        <w:rPr>
          <w:i/>
        </w:rPr>
        <w:tab/>
      </w:r>
      <w:r w:rsidRPr="00EA2312" w:rsidR="00394BC3">
        <w:rPr>
          <w:i/>
        </w:rPr>
        <w:t xml:space="preserve">Sequential </w:t>
      </w:r>
      <w:r w:rsidRPr="00EA2312" w:rsidR="00470B7B">
        <w:rPr>
          <w:i/>
        </w:rPr>
        <w:t>s</w:t>
      </w:r>
      <w:r w:rsidRPr="00EA2312" w:rsidR="00394BC3">
        <w:rPr>
          <w:i/>
        </w:rPr>
        <w:t>tudies</w:t>
      </w:r>
    </w:p>
    <w:p w:rsidR="00D6317D" w:rsidP="002A29C8" w:rsidRDefault="00394BC3">
      <w:pPr>
        <w:spacing w:after="0" w:line="360" w:lineRule="auto"/>
        <w:jc w:val="both"/>
        <w:rPr>
          <w:color w:val="000000" w:themeColor="text1"/>
        </w:rPr>
      </w:pPr>
      <w:r w:rsidRPr="00394BC3">
        <w:t>Faggian</w:t>
      </w:r>
      <w:r w:rsidR="00B75065">
        <w:t xml:space="preserve"> et al.</w:t>
      </w:r>
      <w:r w:rsidRPr="00394BC3">
        <w:t xml:space="preserve"> (2007a)  </w:t>
      </w:r>
      <w:r w:rsidR="00FD771B">
        <w:t xml:space="preserve">examine dual sequential mobility incorporating </w:t>
      </w:r>
      <w:r w:rsidR="007B6BBD">
        <w:t xml:space="preserve">movement </w:t>
      </w:r>
      <w:r w:rsidR="00FD771B">
        <w:t xml:space="preserve">from domicile to university and </w:t>
      </w:r>
      <w:r w:rsidR="007B6BBD">
        <w:t xml:space="preserve">from </w:t>
      </w:r>
      <w:r w:rsidR="00FD771B">
        <w:t xml:space="preserve">university to </w:t>
      </w:r>
      <w:r w:rsidR="00D6317D">
        <w:t xml:space="preserve">first </w:t>
      </w:r>
      <w:r w:rsidR="00FD771B">
        <w:t xml:space="preserve">employment. Their analysis adopts a </w:t>
      </w:r>
      <w:r w:rsidRPr="00394BC3">
        <w:t xml:space="preserve">multinomial logit </w:t>
      </w:r>
      <w:r w:rsidR="00FD771B">
        <w:t>specification</w:t>
      </w:r>
      <w:r w:rsidRPr="00394BC3" w:rsidR="00FD771B">
        <w:t xml:space="preserve"> </w:t>
      </w:r>
      <w:r w:rsidRPr="00394BC3">
        <w:t xml:space="preserve">to </w:t>
      </w:r>
      <w:r w:rsidR="001C5A9F">
        <w:t>examine</w:t>
      </w:r>
      <w:r w:rsidRPr="00394BC3">
        <w:t xml:space="preserve"> employment-migration behaviour of </w:t>
      </w:r>
      <w:r w:rsidR="00FD771B">
        <w:t xml:space="preserve">the </w:t>
      </w:r>
      <w:r w:rsidRPr="00394BC3">
        <w:t>1997-200</w:t>
      </w:r>
      <w:r w:rsidR="006C5B56">
        <w:t>0</w:t>
      </w:r>
      <w:r w:rsidR="007B6BBD">
        <w:t xml:space="preserve"> </w:t>
      </w:r>
      <w:r w:rsidR="00FD771B">
        <w:t xml:space="preserve">cohort of </w:t>
      </w:r>
      <w:r w:rsidRPr="00394BC3">
        <w:t>graduates</w:t>
      </w:r>
      <w:r w:rsidR="00140B45">
        <w:t>. They use</w:t>
      </w:r>
      <w:r w:rsidRPr="00394BC3">
        <w:t xml:space="preserve"> HESA</w:t>
      </w:r>
      <w:r w:rsidR="00FD771B">
        <w:t xml:space="preserve"> data</w:t>
      </w:r>
      <w:r w:rsidR="007B6BBD">
        <w:t xml:space="preserve"> across</w:t>
      </w:r>
      <w:r w:rsidRPr="00394BC3">
        <w:t xml:space="preserve"> 54 counties in England and Wales and 9 regional councils in Scotland</w:t>
      </w:r>
      <w:r w:rsidR="0020463D">
        <w:t xml:space="preserve">. </w:t>
      </w:r>
      <w:r w:rsidR="00C33D24">
        <w:t>A companion paper by t</w:t>
      </w:r>
      <w:r w:rsidRPr="00394BC3">
        <w:t>he same authors (2007b) model</w:t>
      </w:r>
      <w:r w:rsidR="00EF7F40">
        <w:t>s</w:t>
      </w:r>
      <w:r w:rsidRPr="00394BC3">
        <w:t xml:space="preserve"> the sequential mobility behaviour of Scottish and Welsh students</w:t>
      </w:r>
      <w:r w:rsidR="00912202">
        <w:t>.</w:t>
      </w:r>
      <w:r w:rsidRPr="00394BC3" w:rsidR="00C33D24">
        <w:t xml:space="preserve"> </w:t>
      </w:r>
      <w:r w:rsidR="00C33D24">
        <w:t>The</w:t>
      </w:r>
      <w:r w:rsidR="007B6BBD">
        <w:t>ir</w:t>
      </w:r>
      <w:r w:rsidR="00C33D24">
        <w:t xml:space="preserve"> focus </w:t>
      </w:r>
      <w:r w:rsidRPr="00394BC3">
        <w:t xml:space="preserve">is </w:t>
      </w:r>
      <w:r w:rsidR="00817C48">
        <w:t>on</w:t>
      </w:r>
      <w:r w:rsidRPr="00394BC3" w:rsidR="00817C48">
        <w:t xml:space="preserve"> estimat</w:t>
      </w:r>
      <w:r w:rsidR="00817C48">
        <w:t>ing</w:t>
      </w:r>
      <w:r w:rsidRPr="00394BC3" w:rsidR="00817C48">
        <w:t xml:space="preserve"> </w:t>
      </w:r>
      <w:r w:rsidRPr="00394BC3">
        <w:t>supply elasticities rather than returns to human capital</w:t>
      </w:r>
      <w:r w:rsidR="000F202D">
        <w:t>. They also incorporate the</w:t>
      </w:r>
      <w:r w:rsidRPr="00394BC3">
        <w:t xml:space="preserve"> special circumstances </w:t>
      </w:r>
      <w:r w:rsidR="000F202D">
        <w:t xml:space="preserve">which </w:t>
      </w:r>
      <w:r w:rsidRPr="00394BC3">
        <w:t>apply to S</w:t>
      </w:r>
      <w:r w:rsidR="00794C6C">
        <w:t>c</w:t>
      </w:r>
      <w:r w:rsidRPr="00394BC3">
        <w:t>ottish and Welsh students in terms of tuition fees</w:t>
      </w:r>
      <w:r w:rsidR="00E06188">
        <w:t xml:space="preserve"> that do not apply to the majority of UK students from England.</w:t>
      </w:r>
      <w:r w:rsidR="002727DD">
        <w:t xml:space="preserve"> </w:t>
      </w:r>
    </w:p>
    <w:p w:rsidR="00817C48" w:rsidP="002A29C8" w:rsidRDefault="00817C48">
      <w:pPr>
        <w:spacing w:after="0" w:line="360" w:lineRule="auto"/>
        <w:jc w:val="both"/>
        <w:rPr>
          <w:color w:val="000000" w:themeColor="text1"/>
        </w:rPr>
      </w:pPr>
    </w:p>
    <w:p w:rsidR="00C152C8" w:rsidP="002A29C8" w:rsidRDefault="002A29C8">
      <w:pPr>
        <w:spacing w:after="0" w:line="360" w:lineRule="auto"/>
        <w:jc w:val="both"/>
        <w:rPr>
          <w:color w:val="000000" w:themeColor="text1"/>
        </w:rPr>
      </w:pPr>
      <w:r w:rsidRPr="009B2692">
        <w:rPr>
          <w:color w:val="000000" w:themeColor="text1"/>
        </w:rPr>
        <w:t>The literature linking these two strands of graduate outcomes and mobility is far less well-developed.</w:t>
      </w:r>
      <w:r w:rsidRPr="009B2692">
        <w:rPr>
          <w:rFonts w:cs="Arial"/>
          <w:color w:val="000000" w:themeColor="text1"/>
        </w:rPr>
        <w:t xml:space="preserve"> </w:t>
      </w:r>
      <w:r w:rsidR="00E34EB2">
        <w:rPr>
          <w:color w:val="000000" w:themeColor="text1"/>
        </w:rPr>
        <w:t xml:space="preserve">Jewell and Faggian (2014) compare the salary markups for creative and STEM </w:t>
      </w:r>
      <w:r w:rsidR="004B279A">
        <w:rPr>
          <w:color w:val="000000" w:themeColor="text1"/>
        </w:rPr>
        <w:t xml:space="preserve">(science, technology, engineering and mathematics) </w:t>
      </w:r>
      <w:r w:rsidR="00E34EB2">
        <w:rPr>
          <w:color w:val="000000" w:themeColor="text1"/>
        </w:rPr>
        <w:t xml:space="preserve">graduates and show that </w:t>
      </w:r>
      <w:r w:rsidR="00104CDA">
        <w:rPr>
          <w:color w:val="000000" w:themeColor="text1"/>
        </w:rPr>
        <w:t xml:space="preserve">dual </w:t>
      </w:r>
      <w:r w:rsidR="00E34EB2">
        <w:rPr>
          <w:color w:val="000000" w:themeColor="text1"/>
        </w:rPr>
        <w:t xml:space="preserve">migration (i.e. to and from university) is associated with the highest wage premium. However, while creative graduates do not derive much benefit from any other form of migration behaviour, STEM graduates </w:t>
      </w:r>
      <w:r w:rsidR="00C152C8">
        <w:rPr>
          <w:color w:val="000000" w:themeColor="text1"/>
        </w:rPr>
        <w:t>benefit from a range of migration patterns. Finally</w:t>
      </w:r>
      <w:r w:rsidR="004B279A">
        <w:rPr>
          <w:color w:val="000000" w:themeColor="text1"/>
        </w:rPr>
        <w:t>,</w:t>
      </w:r>
      <w:r w:rsidR="00C152C8">
        <w:rPr>
          <w:color w:val="000000" w:themeColor="text1"/>
        </w:rPr>
        <w:t xml:space="preserve"> </w:t>
      </w:r>
      <w:r w:rsidRPr="009B2692">
        <w:rPr>
          <w:color w:val="000000" w:themeColor="text1"/>
        </w:rPr>
        <w:t>Abreu</w:t>
      </w:r>
      <w:r w:rsidR="00AB4F5B">
        <w:rPr>
          <w:color w:val="000000" w:themeColor="text1"/>
        </w:rPr>
        <w:t xml:space="preserve"> et al. (2015)</w:t>
      </w:r>
      <w:r w:rsidRPr="009B2692">
        <w:rPr>
          <w:color w:val="000000" w:themeColor="text1"/>
        </w:rPr>
        <w:t xml:space="preserve"> examine the impact of industrial mobility on earnings and job satisfaction for UK graduates</w:t>
      </w:r>
      <w:r w:rsidR="00403588">
        <w:rPr>
          <w:color w:val="000000" w:themeColor="text1"/>
        </w:rPr>
        <w:t>. The authors</w:t>
      </w:r>
      <w:r w:rsidRPr="009B2692">
        <w:rPr>
          <w:color w:val="000000" w:themeColor="text1"/>
        </w:rPr>
        <w:t xml:space="preserve"> </w:t>
      </w:r>
      <w:r w:rsidR="00C152C8">
        <w:rPr>
          <w:color w:val="000000" w:themeColor="text1"/>
        </w:rPr>
        <w:t>find</w:t>
      </w:r>
      <w:r w:rsidRPr="009B2692">
        <w:rPr>
          <w:color w:val="000000" w:themeColor="text1"/>
        </w:rPr>
        <w:t xml:space="preserve"> that those who </w:t>
      </w:r>
      <w:r w:rsidR="00F20D89">
        <w:rPr>
          <w:color w:val="000000" w:themeColor="text1"/>
        </w:rPr>
        <w:t>alter</w:t>
      </w:r>
      <w:r w:rsidRPr="009B2692" w:rsidR="00F20D89">
        <w:rPr>
          <w:color w:val="000000" w:themeColor="text1"/>
        </w:rPr>
        <w:t xml:space="preserve"> </w:t>
      </w:r>
      <w:r w:rsidRPr="009B2692">
        <w:rPr>
          <w:color w:val="000000" w:themeColor="text1"/>
        </w:rPr>
        <w:t xml:space="preserve">both location and industry face an earnings disadvantage in the short run compared to non-movers, while those who change location but not industry </w:t>
      </w:r>
      <w:r w:rsidR="00D6317D">
        <w:rPr>
          <w:color w:val="000000" w:themeColor="text1"/>
        </w:rPr>
        <w:t>out-perform</w:t>
      </w:r>
      <w:r w:rsidR="00C152C8">
        <w:rPr>
          <w:color w:val="000000" w:themeColor="text1"/>
        </w:rPr>
        <w:t xml:space="preserve"> non-movers.</w:t>
      </w:r>
    </w:p>
    <w:p w:rsidR="00C152C8" w:rsidP="002A29C8" w:rsidRDefault="00C152C8">
      <w:pPr>
        <w:spacing w:after="0" w:line="360" w:lineRule="auto"/>
        <w:jc w:val="both"/>
        <w:rPr>
          <w:color w:val="000000" w:themeColor="text1"/>
        </w:rPr>
      </w:pPr>
    </w:p>
    <w:p w:rsidR="00D6317D" w:rsidP="00D6317D" w:rsidRDefault="002A29C8">
      <w:pPr>
        <w:spacing w:after="0" w:line="360" w:lineRule="auto"/>
        <w:jc w:val="both"/>
        <w:rPr>
          <w:rFonts w:cs="Arial"/>
          <w:color w:val="FF0000"/>
        </w:rPr>
      </w:pPr>
      <w:r w:rsidRPr="009B2692">
        <w:rPr>
          <w:rFonts w:cs="Arial"/>
          <w:color w:val="000000" w:themeColor="text1"/>
        </w:rPr>
        <w:t xml:space="preserve">Our own study clearly falls into </w:t>
      </w:r>
      <w:r w:rsidR="008B0047">
        <w:rPr>
          <w:rFonts w:cs="Arial"/>
          <w:color w:val="000000" w:themeColor="text1"/>
        </w:rPr>
        <w:t xml:space="preserve">this </w:t>
      </w:r>
      <w:r w:rsidR="00104CDA">
        <w:rPr>
          <w:rFonts w:cs="Arial"/>
          <w:color w:val="000000" w:themeColor="text1"/>
        </w:rPr>
        <w:t xml:space="preserve">sequential mobility </w:t>
      </w:r>
      <w:r w:rsidR="008B0047">
        <w:rPr>
          <w:rFonts w:cs="Arial"/>
          <w:color w:val="000000" w:themeColor="text1"/>
        </w:rPr>
        <w:t>category</w:t>
      </w:r>
      <w:r w:rsidRPr="009B2692">
        <w:rPr>
          <w:rFonts w:cs="Arial"/>
          <w:color w:val="000000" w:themeColor="text1"/>
        </w:rPr>
        <w:t xml:space="preserve">, but is wider-ranging in its investigation </w:t>
      </w:r>
      <w:r w:rsidR="0066760C">
        <w:rPr>
          <w:rFonts w:cs="Arial"/>
          <w:color w:val="000000" w:themeColor="text1"/>
        </w:rPr>
        <w:t>compared to</w:t>
      </w:r>
      <w:r w:rsidRPr="009B2692" w:rsidR="0066760C">
        <w:rPr>
          <w:rFonts w:cs="Arial"/>
          <w:color w:val="000000" w:themeColor="text1"/>
        </w:rPr>
        <w:t xml:space="preserve"> </w:t>
      </w:r>
      <w:r w:rsidRPr="009B2692">
        <w:rPr>
          <w:rFonts w:cs="Arial"/>
          <w:color w:val="000000" w:themeColor="text1"/>
        </w:rPr>
        <w:t xml:space="preserve">existing studies. </w:t>
      </w:r>
      <w:r w:rsidRPr="00394BC3" w:rsidR="00D6317D">
        <w:t>Faggian</w:t>
      </w:r>
      <w:r w:rsidR="00D6317D">
        <w:t xml:space="preserve"> et al.</w:t>
      </w:r>
      <w:r w:rsidRPr="00394BC3" w:rsidR="00D6317D">
        <w:t xml:space="preserve"> (2007a) </w:t>
      </w:r>
      <w:r w:rsidR="00D6317D">
        <w:t xml:space="preserve">is central and closest in spirit to the current analysis. </w:t>
      </w:r>
      <w:r w:rsidRPr="00394BC3" w:rsidR="00D6317D">
        <w:t>The value added of our study</w:t>
      </w:r>
      <w:r w:rsidR="00D6317D">
        <w:t xml:space="preserve"> is as follows. </w:t>
      </w:r>
      <w:r w:rsidRPr="00394BC3" w:rsidR="00D6317D">
        <w:t>We consider a more complete regional classification, as in Hoare and Corver (2010)</w:t>
      </w:r>
      <w:r w:rsidR="00D6317D">
        <w:t xml:space="preserve">, and we examine the sensitivity of our results to a variety of definitions of mobility differentiated by distance. </w:t>
      </w:r>
      <w:r w:rsidRPr="00394BC3" w:rsidR="00D6317D">
        <w:t>We use bivariate probit to highlight the inter</w:t>
      </w:r>
      <w:r w:rsidR="00D6317D">
        <w:t>-</w:t>
      </w:r>
      <w:r w:rsidRPr="00394BC3" w:rsidR="00D6317D">
        <w:t>relationship between the two stages of mobility. We relate individual characteristics to individual outcomes, rather than taking the average characteristics of regions, and we use quantile regression to highlight the effects on earning</w:t>
      </w:r>
      <w:r w:rsidR="00D6317D">
        <w:t>s</w:t>
      </w:r>
      <w:r w:rsidRPr="00394BC3" w:rsidR="00D6317D">
        <w:t xml:space="preserve"> at different points in the overall distribution. </w:t>
      </w:r>
    </w:p>
    <w:p w:rsidR="00D6317D" w:rsidP="002A29C8" w:rsidRDefault="00D6317D">
      <w:pPr>
        <w:spacing w:after="0" w:line="360" w:lineRule="auto"/>
        <w:jc w:val="both"/>
        <w:rPr>
          <w:rFonts w:cs="Arial"/>
          <w:color w:val="000000" w:themeColor="text1"/>
        </w:rPr>
      </w:pPr>
    </w:p>
    <w:p w:rsidRPr="009B2692" w:rsidR="002A29C8" w:rsidP="002A29C8" w:rsidRDefault="002A29C8">
      <w:pPr>
        <w:spacing w:after="0" w:line="360" w:lineRule="auto"/>
        <w:jc w:val="both"/>
        <w:rPr>
          <w:color w:val="000000" w:themeColor="text1"/>
        </w:rPr>
      </w:pPr>
      <w:r w:rsidRPr="009B2692">
        <w:rPr>
          <w:rFonts w:cs="Arial"/>
          <w:color w:val="000000" w:themeColor="text1"/>
        </w:rPr>
        <w:t xml:space="preserve">We adopt a framework that considers the inter-relationship between </w:t>
      </w:r>
      <w:r w:rsidRPr="009B2692">
        <w:rPr>
          <w:color w:val="000000" w:themeColor="text1"/>
        </w:rPr>
        <w:t>place of residence, place of study and place of</w:t>
      </w:r>
      <w:r w:rsidR="002E69B9">
        <w:rPr>
          <w:color w:val="000000" w:themeColor="text1"/>
        </w:rPr>
        <w:t xml:space="preserve"> </w:t>
      </w:r>
      <w:r w:rsidRPr="009B2692">
        <w:rPr>
          <w:color w:val="000000" w:themeColor="text1"/>
        </w:rPr>
        <w:t xml:space="preserve">employment in </w:t>
      </w:r>
      <w:r w:rsidRPr="009B2692" w:rsidR="00312379">
        <w:rPr>
          <w:color w:val="000000" w:themeColor="text1"/>
        </w:rPr>
        <w:t>a</w:t>
      </w:r>
      <w:r w:rsidR="00312379">
        <w:rPr>
          <w:color w:val="000000" w:themeColor="text1"/>
        </w:rPr>
        <w:t>n analysis</w:t>
      </w:r>
      <w:r w:rsidRPr="009B2692">
        <w:rPr>
          <w:color w:val="000000" w:themeColor="text1"/>
        </w:rPr>
        <w:t xml:space="preserve"> of graduate mobility and distribution of graduate earnings</w:t>
      </w:r>
      <w:r w:rsidR="00312379">
        <w:rPr>
          <w:color w:val="000000" w:themeColor="text1"/>
        </w:rPr>
        <w:t>.</w:t>
      </w:r>
      <w:r w:rsidRPr="009B2692">
        <w:rPr>
          <w:color w:val="000000" w:themeColor="text1"/>
        </w:rPr>
        <w:t xml:space="preserve"> This allows a more comprehensive picture to be painted of the effect of mobility </w:t>
      </w:r>
      <w:r>
        <w:rPr>
          <w:color w:val="000000" w:themeColor="text1"/>
        </w:rPr>
        <w:t>across the entire spectrum of</w:t>
      </w:r>
      <w:r w:rsidRPr="009B2692">
        <w:rPr>
          <w:color w:val="000000" w:themeColor="text1"/>
        </w:rPr>
        <w:t xml:space="preserve"> </w:t>
      </w:r>
      <w:r w:rsidR="00312379">
        <w:rPr>
          <w:color w:val="000000" w:themeColor="text1"/>
        </w:rPr>
        <w:t xml:space="preserve">graduate </w:t>
      </w:r>
      <w:r>
        <w:rPr>
          <w:color w:val="000000" w:themeColor="text1"/>
        </w:rPr>
        <w:t xml:space="preserve">earners </w:t>
      </w:r>
      <w:r w:rsidRPr="009B2692">
        <w:rPr>
          <w:color w:val="000000" w:themeColor="text1"/>
        </w:rPr>
        <w:t>in the UK labour market.</w:t>
      </w:r>
    </w:p>
    <w:p w:rsidR="007D54D4" w:rsidP="001734E9" w:rsidRDefault="007D54D4">
      <w:pPr>
        <w:spacing w:after="0" w:line="360" w:lineRule="auto"/>
        <w:jc w:val="both"/>
        <w:outlineLvl w:val="0"/>
        <w:rPr>
          <w:b/>
        </w:rPr>
      </w:pPr>
    </w:p>
    <w:p w:rsidR="007B6BBD" w:rsidP="001734E9" w:rsidRDefault="002845F8">
      <w:pPr>
        <w:spacing w:after="0" w:line="360" w:lineRule="auto"/>
        <w:jc w:val="both"/>
        <w:outlineLvl w:val="0"/>
      </w:pPr>
      <w:r>
        <w:rPr>
          <w:b/>
        </w:rPr>
        <w:lastRenderedPageBreak/>
        <w:t>4.</w:t>
      </w:r>
      <w:r>
        <w:rPr>
          <w:b/>
        </w:rPr>
        <w:tab/>
      </w:r>
      <w:r w:rsidR="0030698B">
        <w:rPr>
          <w:b/>
        </w:rPr>
        <w:t>Data</w:t>
      </w:r>
      <w:r w:rsidR="00F86E7C">
        <w:t xml:space="preserve"> </w:t>
      </w:r>
    </w:p>
    <w:p w:rsidR="006A4136" w:rsidP="006A4136" w:rsidRDefault="006A4136">
      <w:pPr>
        <w:spacing w:after="0" w:line="360" w:lineRule="auto"/>
        <w:jc w:val="both"/>
      </w:pPr>
      <w:r>
        <w:t>The empirical analysis employs the Destinations of Leavers from Higher Education (DLHE) survey, conducted by the UK Higher Education Statistics Agency (HESA). The survey is organised in two stages, the first a census of individuals who have completed high</w:t>
      </w:r>
      <w:r w:rsidR="00EB022E">
        <w:t xml:space="preserve">er education courses in the UK </w:t>
      </w:r>
      <w:r>
        <w:t xml:space="preserve">carried out approximately six months after graduation (referred to as the Early Survey). The second stage (the Longitudinal Survey), looks at the destination of leavers up to 3.5 years after graduation and is based on a sub-sample drawn from the Early Survey. </w:t>
      </w:r>
    </w:p>
    <w:p w:rsidR="009418D6" w:rsidP="006A4136" w:rsidRDefault="009418D6">
      <w:pPr>
        <w:spacing w:after="0" w:line="360" w:lineRule="auto"/>
        <w:jc w:val="both"/>
      </w:pPr>
    </w:p>
    <w:p w:rsidR="006A4136" w:rsidP="006A4136" w:rsidRDefault="006A4136">
      <w:pPr>
        <w:spacing w:after="0" w:line="360" w:lineRule="auto"/>
        <w:jc w:val="both"/>
      </w:pPr>
      <w:r>
        <w:t xml:space="preserve">The DLHE </w:t>
      </w:r>
      <w:r w:rsidR="00104CDA">
        <w:t>provides the key information required for our an</w:t>
      </w:r>
      <w:r w:rsidR="00794C6C">
        <w:t>a</w:t>
      </w:r>
      <w:r w:rsidR="00104CDA">
        <w:t>lysis</w:t>
      </w:r>
      <w:r w:rsidR="00EB022E">
        <w:t xml:space="preserve">, </w:t>
      </w:r>
      <w:r w:rsidR="00104CDA">
        <w:t xml:space="preserve">i.e. individual level mobility together with earnings. The data  </w:t>
      </w:r>
      <w:r>
        <w:t xml:space="preserve">includes </w:t>
      </w:r>
      <w:r w:rsidR="00104CDA">
        <w:t xml:space="preserve">details of  </w:t>
      </w:r>
      <w:r>
        <w:t xml:space="preserve">a range of personal characteristics (such as age, gender and ethnicity), the university attended and the degree course studied, employment circumstances (whether employed, self-employed etc.) after completion of study and job details </w:t>
      </w:r>
      <w:r w:rsidR="00104CDA">
        <w:t>including</w:t>
      </w:r>
      <w:r>
        <w:t xml:space="preserve"> salary. Crucially for the mobility analysis, the data also contain an indication of location at three points in time: the home domicile is recorded before entry to university; we know the </w:t>
      </w:r>
      <w:r w:rsidR="00085D22">
        <w:t xml:space="preserve">location </w:t>
      </w:r>
      <w:r>
        <w:t xml:space="preserve">of the university attended; and the </w:t>
      </w:r>
      <w:r w:rsidR="00085D22">
        <w:t xml:space="preserve">location </w:t>
      </w:r>
      <w:r>
        <w:t>of employment 3.5 years after graduation. While the DLHE survey includes those completing undergraduate and postgraduate degrees, we restrict the focus to undergraduates. This enables a cleaner comparison for analysis of labo</w:t>
      </w:r>
      <w:r w:rsidR="00794C6C">
        <w:t>u</w:t>
      </w:r>
      <w:r>
        <w:t xml:space="preserve">r market outcomes. After removing observations with missing data, 7,901 undergraduate degree holders with complete migration history are identified. Of these, 3,717 also provide earnings data. </w:t>
      </w:r>
    </w:p>
    <w:p w:rsidR="006A4136" w:rsidRDefault="006A4136">
      <w:pPr>
        <w:spacing w:after="0" w:line="360" w:lineRule="auto"/>
        <w:jc w:val="both"/>
      </w:pPr>
    </w:p>
    <w:p w:rsidRPr="00E37576" w:rsidR="000F544F" w:rsidP="000F544F" w:rsidRDefault="009B7A81">
      <w:pPr>
        <w:spacing w:after="0" w:line="360" w:lineRule="auto"/>
        <w:jc w:val="both"/>
        <w:rPr>
          <w:color w:val="000000" w:themeColor="text1"/>
        </w:rPr>
      </w:pPr>
      <w:r>
        <w:t xml:space="preserve">In its current form, the DLHE survey has run since 2002/03, with the most recent data available for 2008/09. </w:t>
      </w:r>
      <w:r w:rsidR="00A162F6">
        <w:t>In an attempt to avoid conflating recessionary effects with graduate premium and mobility effects our analysis utilises</w:t>
      </w:r>
      <w:r w:rsidRPr="009B7A81">
        <w:t xml:space="preserve"> </w:t>
      </w:r>
      <w:r>
        <w:t xml:space="preserve">the </w:t>
      </w:r>
      <w:r w:rsidR="00BA3024">
        <w:t>2002/03</w:t>
      </w:r>
      <w:r>
        <w:t xml:space="preserve"> cohort</w:t>
      </w:r>
      <w:r w:rsidR="00104CDA">
        <w:t>.</w:t>
      </w:r>
      <w:r w:rsidR="00D13012">
        <w:rPr>
          <w:rStyle w:val="EndnoteReference"/>
        </w:rPr>
        <w:endnoteReference w:id="4"/>
      </w:r>
      <w:r w:rsidRPr="00C25766" w:rsidR="00085D22">
        <w:rPr>
          <w:vertAlign w:val="superscript"/>
        </w:rPr>
        <w:t>,</w:t>
      </w:r>
      <w:r w:rsidRPr="00794E6F" w:rsidR="00794E6F">
        <w:rPr>
          <w:rStyle w:val="EndnoteReference"/>
        </w:rPr>
        <w:t xml:space="preserve"> </w:t>
      </w:r>
      <w:r w:rsidR="00794E6F">
        <w:rPr>
          <w:rStyle w:val="EndnoteReference"/>
        </w:rPr>
        <w:endnoteReference w:id="5"/>
      </w:r>
      <w:r w:rsidR="00104CDA">
        <w:t xml:space="preserve"> </w:t>
      </w:r>
      <w:r w:rsidR="000F202D">
        <w:t>R</w:t>
      </w:r>
      <w:r w:rsidR="000F544F">
        <w:t>ecent North American studies demonstrate that aggregate labour market conditions have strong and persistent effects on individual careers via the choice of initial jobs.</w:t>
      </w:r>
      <w:r w:rsidR="000F202D">
        <w:t xml:space="preserve"> </w:t>
      </w:r>
      <w:r w:rsidR="000F544F">
        <w:t>Oreopoulos</w:t>
      </w:r>
      <w:r w:rsidR="000F202D">
        <w:t xml:space="preserve"> et al. </w:t>
      </w:r>
      <w:r w:rsidR="000F544F">
        <w:t xml:space="preserve">(2012) analyse a large sample of Canadian </w:t>
      </w:r>
      <w:r w:rsidR="00A0468D">
        <w:t>c</w:t>
      </w:r>
      <w:r w:rsidR="000F544F">
        <w:t>ollege graduates from 1982 to 1999, a period which straddles two recessions. They conclude that graduating in a recession leads to large initial earnings losses of around 9 per cent of annual earnings. This loss is estimated to halve within 5 years, but does not disappear until ten years after graduation.</w:t>
      </w:r>
      <w:r w:rsidR="000F202D">
        <w:t xml:space="preserve"> </w:t>
      </w:r>
      <w:r w:rsidRPr="00E37576" w:rsidR="000F544F">
        <w:rPr>
          <w:color w:val="000000" w:themeColor="text1"/>
        </w:rPr>
        <w:t>Similar studies in the UK are limited. However, Britton</w:t>
      </w:r>
      <w:r w:rsidR="00B75065">
        <w:rPr>
          <w:color w:val="000000" w:themeColor="text1"/>
        </w:rPr>
        <w:t xml:space="preserve"> et al. </w:t>
      </w:r>
      <w:r w:rsidRPr="00E37576" w:rsidR="000F544F">
        <w:rPr>
          <w:color w:val="000000" w:themeColor="text1"/>
        </w:rPr>
        <w:t>(2015) report that though graduates suffer proportionately less during recession than non-graduates, losses in earnings growth are still substantial and especially so for female</w:t>
      </w:r>
      <w:r w:rsidR="002C2516">
        <w:rPr>
          <w:color w:val="000000" w:themeColor="text1"/>
        </w:rPr>
        <w:t>s.</w:t>
      </w:r>
    </w:p>
    <w:p w:rsidR="00F263CD" w:rsidP="00FC2291" w:rsidRDefault="00F263CD">
      <w:pPr>
        <w:spacing w:after="0" w:line="360" w:lineRule="auto"/>
        <w:jc w:val="both"/>
        <w:rPr>
          <w:b/>
        </w:rPr>
      </w:pPr>
    </w:p>
    <w:p w:rsidR="00EB022E" w:rsidP="00FC2291" w:rsidRDefault="00EB022E">
      <w:pPr>
        <w:spacing w:after="0" w:line="360" w:lineRule="auto"/>
        <w:jc w:val="both"/>
        <w:rPr>
          <w:b/>
        </w:rPr>
      </w:pPr>
    </w:p>
    <w:p w:rsidR="00EB022E" w:rsidP="00FC2291" w:rsidRDefault="00EB022E">
      <w:pPr>
        <w:spacing w:after="0" w:line="360" w:lineRule="auto"/>
        <w:jc w:val="both"/>
        <w:rPr>
          <w:b/>
        </w:rPr>
      </w:pPr>
    </w:p>
    <w:p w:rsidRPr="00A878F3" w:rsidR="00A878F3" w:rsidP="001734E9" w:rsidRDefault="002845F8">
      <w:pPr>
        <w:spacing w:after="0" w:line="360" w:lineRule="auto"/>
        <w:jc w:val="both"/>
        <w:outlineLvl w:val="0"/>
        <w:rPr>
          <w:b/>
        </w:rPr>
      </w:pPr>
      <w:r>
        <w:rPr>
          <w:b/>
        </w:rPr>
        <w:lastRenderedPageBreak/>
        <w:t>5.</w:t>
      </w:r>
      <w:r>
        <w:rPr>
          <w:b/>
        </w:rPr>
        <w:tab/>
      </w:r>
      <w:r w:rsidRPr="00A878F3" w:rsidR="00A878F3">
        <w:rPr>
          <w:b/>
        </w:rPr>
        <w:t>Methodology</w:t>
      </w:r>
    </w:p>
    <w:p w:rsidRPr="005E36EE" w:rsidR="00E648C1" w:rsidP="00FC2291" w:rsidRDefault="003F4763">
      <w:pPr>
        <w:spacing w:after="0" w:line="360" w:lineRule="auto"/>
        <w:jc w:val="both"/>
      </w:pPr>
      <w:r>
        <w:t xml:space="preserve">Consider the situation facing </w:t>
      </w:r>
      <w:r w:rsidR="00E278A2">
        <w:t xml:space="preserve">a </w:t>
      </w:r>
      <w:r>
        <w:t>student</w:t>
      </w:r>
      <w:r w:rsidR="00E278A2">
        <w:t xml:space="preserve"> </w:t>
      </w:r>
      <w:r w:rsidR="00FD0B22">
        <w:t xml:space="preserve">(labelled </w:t>
      </w:r>
      <w:r w:rsidRPr="00E278A2" w:rsidR="00E278A2">
        <w:rPr>
          <w:rFonts w:asciiTheme="majorHAnsi" w:hAnsiTheme="majorHAnsi"/>
          <w:i/>
        </w:rPr>
        <w:t>j</w:t>
      </w:r>
      <w:r w:rsidRPr="00DE6EBC" w:rsidR="00FD0B22">
        <w:rPr>
          <w:rFonts w:asciiTheme="majorHAnsi" w:hAnsiTheme="majorHAnsi"/>
        </w:rPr>
        <w:t xml:space="preserve">) </w:t>
      </w:r>
      <w:r w:rsidR="00FD0B22">
        <w:t>deciding where</w:t>
      </w:r>
      <w:r>
        <w:t xml:space="preserve"> to attend university.</w:t>
      </w:r>
      <w:r w:rsidR="00E648C1">
        <w:rPr>
          <w:rStyle w:val="EndnoteReference"/>
        </w:rPr>
        <w:endnoteReference w:id="6"/>
      </w:r>
      <w:r w:rsidR="00E648C1">
        <w:t xml:space="preserve"> If she moves from her domicile </w:t>
      </w:r>
      <w:r w:rsidR="00A81BA4">
        <w:t xml:space="preserve">location </w:t>
      </w:r>
      <w:r w:rsidR="00E648C1">
        <w:t xml:space="preserve">to a university in an alternative </w:t>
      </w:r>
      <w:r w:rsidR="00A81BA4">
        <w:t xml:space="preserve">location </w:t>
      </w:r>
      <w:r w:rsidR="00E648C1">
        <w:t>then she is identified as a mover and we define an indicator variable</w:t>
      </w:r>
      <w:r w:rsidRPr="00E278A2" w:rsidR="00E648C1">
        <w:rPr>
          <w:i/>
        </w:rPr>
        <w:t xml:space="preserve"> </w:t>
      </w:r>
      <w:r w:rsidRPr="0036017D" w:rsidR="00E648C1">
        <w:rPr>
          <w:rFonts w:asciiTheme="majorHAnsi" w:hAnsiTheme="majorHAnsi"/>
          <w:i/>
        </w:rPr>
        <w:t>I</w:t>
      </w:r>
      <w:r w:rsidRPr="0036017D" w:rsidR="00E648C1">
        <w:rPr>
          <w:rFonts w:asciiTheme="majorHAnsi" w:hAnsiTheme="majorHAnsi"/>
          <w:vertAlign w:val="subscript"/>
        </w:rPr>
        <w:t>1</w:t>
      </w:r>
      <w:r w:rsidRPr="0036017D" w:rsidR="00E648C1">
        <w:rPr>
          <w:rFonts w:asciiTheme="majorHAnsi" w:hAnsiTheme="majorHAnsi"/>
          <w:i/>
          <w:vertAlign w:val="subscript"/>
        </w:rPr>
        <w:t>j</w:t>
      </w:r>
      <w:r w:rsidR="00E648C1">
        <w:t xml:space="preserve"> that takes a value of 1. Alternatively</w:t>
      </w:r>
      <w:r w:rsidR="00A81BA4">
        <w:t>,</w:t>
      </w:r>
      <w:r w:rsidR="00E648C1">
        <w:t xml:space="preserve"> </w:t>
      </w:r>
      <w:r w:rsidR="00C37F2F">
        <w:t xml:space="preserve">if </w:t>
      </w:r>
      <w:r w:rsidR="00E648C1">
        <w:t>she attend</w:t>
      </w:r>
      <w:r w:rsidR="00C37F2F">
        <w:t>s</w:t>
      </w:r>
      <w:r w:rsidR="00E648C1">
        <w:t xml:space="preserve"> a university in the same </w:t>
      </w:r>
      <w:r w:rsidR="00A81BA4">
        <w:t xml:space="preserve">location </w:t>
      </w:r>
      <w:r w:rsidR="00E648C1">
        <w:t>as her domicile</w:t>
      </w:r>
      <w:r w:rsidR="00EC12E9">
        <w:t>,</w:t>
      </w:r>
      <w:r w:rsidR="00E648C1">
        <w:t xml:space="preserve"> </w:t>
      </w:r>
      <w:r w:rsidRPr="00E278A2" w:rsidR="00E648C1">
        <w:rPr>
          <w:rFonts w:asciiTheme="majorHAnsi" w:hAnsiTheme="majorHAnsi"/>
          <w:i/>
        </w:rPr>
        <w:t>I</w:t>
      </w:r>
      <w:r w:rsidRPr="00E278A2" w:rsidR="00E648C1">
        <w:rPr>
          <w:rFonts w:asciiTheme="majorHAnsi" w:hAnsiTheme="majorHAnsi"/>
          <w:vertAlign w:val="subscript"/>
        </w:rPr>
        <w:t>1</w:t>
      </w:r>
      <w:r w:rsidRPr="0036017D" w:rsidR="00E648C1">
        <w:rPr>
          <w:rFonts w:asciiTheme="majorHAnsi" w:hAnsiTheme="majorHAnsi"/>
          <w:i/>
          <w:vertAlign w:val="subscript"/>
        </w:rPr>
        <w:t>j</w:t>
      </w:r>
      <w:r w:rsidR="00E648C1">
        <w:t xml:space="preserve"> takes a value of 0. </w:t>
      </w:r>
      <w:r w:rsidR="00C37F2F">
        <w:t>Second</w:t>
      </w:r>
      <w:r w:rsidR="00A81BA4">
        <w:t>,</w:t>
      </w:r>
      <w:r w:rsidR="00C37F2F">
        <w:t xml:space="preserve"> we define an indicator variable </w:t>
      </w:r>
      <w:r w:rsidRPr="004B55A4" w:rsidR="00C37F2F">
        <w:rPr>
          <w:rFonts w:asciiTheme="majorHAnsi" w:hAnsiTheme="majorHAnsi"/>
          <w:i/>
        </w:rPr>
        <w:t>I</w:t>
      </w:r>
      <w:r w:rsidRPr="0036017D" w:rsidR="00C37F2F">
        <w:rPr>
          <w:rFonts w:asciiTheme="majorHAnsi" w:hAnsiTheme="majorHAnsi"/>
          <w:vertAlign w:val="subscript"/>
        </w:rPr>
        <w:t>2</w:t>
      </w:r>
      <w:r w:rsidRPr="0036017D" w:rsidR="00C37F2F">
        <w:rPr>
          <w:i/>
          <w:vertAlign w:val="subscript"/>
        </w:rPr>
        <w:t>j</w:t>
      </w:r>
      <w:r w:rsidR="00A81BA4">
        <w:t xml:space="preserve"> that </w:t>
      </w:r>
      <w:r w:rsidR="00C37F2F">
        <w:t xml:space="preserve">takes the value of 1 if she works in a different </w:t>
      </w:r>
      <w:r w:rsidR="00A81BA4">
        <w:t xml:space="preserve">location </w:t>
      </w:r>
      <w:r w:rsidR="00C37F2F">
        <w:t xml:space="preserve">to that </w:t>
      </w:r>
      <w:r w:rsidR="008B710E">
        <w:t>of</w:t>
      </w:r>
      <w:r w:rsidR="00C37F2F">
        <w:t xml:space="preserve"> the university </w:t>
      </w:r>
      <w:r w:rsidR="008B710E">
        <w:t>from which she graduated</w:t>
      </w:r>
      <w:r w:rsidR="00FD0B22">
        <w:t xml:space="preserve"> and zero otherwise</w:t>
      </w:r>
      <w:r w:rsidR="00E648C1">
        <w:t xml:space="preserve">. Thus, we can model the propensity of student </w:t>
      </w:r>
      <w:r w:rsidRPr="0036017D" w:rsidR="00E648C1">
        <w:rPr>
          <w:rFonts w:asciiTheme="majorHAnsi" w:hAnsiTheme="majorHAnsi"/>
          <w:i/>
        </w:rPr>
        <w:t>j</w:t>
      </w:r>
      <w:r w:rsidR="00E648C1">
        <w:t xml:space="preserve"> to migrate, both from domicile to university, and from university to employment, </w:t>
      </w:r>
      <w:r w:rsidR="008B710E">
        <w:t>as follows</w:t>
      </w:r>
      <w:r w:rsidR="00E648C1">
        <w:t>:</w:t>
      </w:r>
    </w:p>
    <w:p w:rsidR="00E648C1" w:rsidP="00FC2291" w:rsidRDefault="00E648C1">
      <w:pPr>
        <w:spacing w:after="0" w:line="360" w:lineRule="auto"/>
        <w:jc w:val="both"/>
      </w:pPr>
    </w:p>
    <w:p w:rsidRPr="00B633F8" w:rsidR="00E648C1" w:rsidP="00FC2291" w:rsidRDefault="00D2692E">
      <w:pPr>
        <w:tabs>
          <w:tab w:val="right" w:pos="9026"/>
        </w:tabs>
        <w:spacing w:after="0" w:line="360" w:lineRule="auto"/>
        <w:ind w:firstLine="709"/>
        <w:jc w:val="both"/>
      </w:pPr>
      <m:oMath>
        <m:sSubSup>
          <m:sSubSupPr>
            <m:ctrlPr>
              <w:rPr>
                <w:rFonts w:ascii="Cambria Math" w:hAnsi="Cambria Math"/>
                <w:i/>
              </w:rPr>
            </m:ctrlPr>
          </m:sSubSupPr>
          <m:e>
            <m:r>
              <w:rPr>
                <w:rFonts w:ascii="Cambria Math" w:hAnsi="Cambria Math"/>
              </w:rPr>
              <m:t>I</m:t>
            </m:r>
          </m:e>
          <m:sub>
            <m:r>
              <w:rPr>
                <w:rFonts w:ascii="Cambria Math" w:hAnsi="Cambria Math"/>
              </w:rPr>
              <m:t>1j</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δ+</m:t>
        </m:r>
        <m:sSub>
          <m:sSubPr>
            <m:ctrlPr>
              <w:rPr>
                <w:rFonts w:ascii="Cambria Math" w:hAnsi="Cambria Math"/>
                <w:i/>
              </w:rPr>
            </m:ctrlPr>
          </m:sSubPr>
          <m:e>
            <m:r>
              <w:rPr>
                <w:rFonts w:ascii="Cambria Math" w:hAnsi="Cambria Math"/>
              </w:rPr>
              <m:t>ϵ</m:t>
            </m:r>
          </m:e>
          <m:sub>
            <m:r>
              <w:rPr>
                <w:rFonts w:ascii="Cambria Math" w:hAnsi="Cambria Math"/>
              </w:rPr>
              <m:t>1j</m:t>
            </m:r>
          </m:sub>
        </m:sSub>
      </m:oMath>
      <w:r w:rsidR="00E648C1">
        <w:t xml:space="preserve"> </w:t>
      </w:r>
      <w:r w:rsidR="00E648C1">
        <w:tab/>
        <w:t>[1]</w:t>
      </w:r>
    </w:p>
    <w:p w:rsidR="00E648C1" w:rsidP="00FC2291" w:rsidRDefault="00D2692E">
      <w:pPr>
        <w:tabs>
          <w:tab w:val="right" w:pos="9026"/>
        </w:tabs>
        <w:spacing w:after="0" w:line="360" w:lineRule="auto"/>
        <w:ind w:firstLine="709"/>
        <w:jc w:val="both"/>
      </w:pPr>
      <m:oMath>
        <m:sSubSup>
          <m:sSubSupPr>
            <m:ctrlPr>
              <w:rPr>
                <w:rFonts w:ascii="Cambria Math" w:hAnsi="Cambria Math"/>
                <w:i/>
              </w:rPr>
            </m:ctrlPr>
          </m:sSubSupPr>
          <m:e>
            <m:r>
              <w:rPr>
                <w:rFonts w:ascii="Cambria Math" w:hAnsi="Cambria Math"/>
              </w:rPr>
              <m:t>I</m:t>
            </m:r>
          </m:e>
          <m:sub>
            <m:r>
              <w:rPr>
                <w:rFonts w:ascii="Cambria Math" w:hAnsi="Cambria Math"/>
              </w:rPr>
              <m:t>2j</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γ+</m:t>
        </m:r>
        <m:sSub>
          <m:sSubPr>
            <m:ctrlPr>
              <w:rPr>
                <w:rFonts w:ascii="Cambria Math" w:hAnsi="Cambria Math"/>
                <w:i/>
              </w:rPr>
            </m:ctrlPr>
          </m:sSubPr>
          <m:e>
            <m:r>
              <w:rPr>
                <w:rFonts w:ascii="Cambria Math" w:hAnsi="Cambria Math"/>
              </w:rPr>
              <m:t>ϵ</m:t>
            </m:r>
          </m:e>
          <m:sub>
            <m:r>
              <w:rPr>
                <w:rFonts w:ascii="Cambria Math" w:hAnsi="Cambria Math"/>
              </w:rPr>
              <m:t>2j</m:t>
            </m:r>
          </m:sub>
        </m:sSub>
      </m:oMath>
      <w:r w:rsidR="00E648C1">
        <w:tab/>
        <w:t>[2]</w:t>
      </w:r>
    </w:p>
    <w:p w:rsidRPr="00B633F8" w:rsidR="00E648C1" w:rsidP="00FC2291" w:rsidRDefault="00E648C1">
      <w:pPr>
        <w:tabs>
          <w:tab w:val="right" w:pos="9026"/>
        </w:tabs>
        <w:spacing w:after="0" w:line="360" w:lineRule="auto"/>
        <w:jc w:val="both"/>
      </w:pPr>
    </w:p>
    <w:p w:rsidR="00E648C1" w:rsidP="00FC2291" w:rsidRDefault="00E648C1">
      <w:pPr>
        <w:spacing w:after="0" w:line="360" w:lineRule="auto"/>
        <w:jc w:val="both"/>
      </w:pPr>
      <w:r>
        <w:t xml:space="preserve">where for student </w:t>
      </w:r>
      <w:r>
        <w:rPr>
          <w:i/>
        </w:rPr>
        <w:t>j</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1j</m:t>
            </m:r>
          </m:sub>
          <m:sup>
            <m:r>
              <w:rPr>
                <w:rFonts w:ascii="Cambria Math" w:hAnsi="Cambria Math"/>
              </w:rPr>
              <m:t>*</m:t>
            </m:r>
          </m:sup>
        </m:sSubSup>
        <m:r>
          <w:rPr>
            <w:rFonts w:ascii="Cambria Math" w:hAnsi="Cambria Math"/>
          </w:rPr>
          <m:t xml:space="preserve"> </m:t>
        </m:r>
      </m:oMath>
      <w:r>
        <w:t xml:space="preserve"> and </w:t>
      </w:r>
      <m:oMath>
        <m:sSubSup>
          <m:sSubSupPr>
            <m:ctrlPr>
              <w:rPr>
                <w:rFonts w:ascii="Cambria Math" w:hAnsi="Cambria Math"/>
                <w:i/>
              </w:rPr>
            </m:ctrlPr>
          </m:sSubSupPr>
          <m:e>
            <m:r>
              <w:rPr>
                <w:rFonts w:ascii="Cambria Math" w:hAnsi="Cambria Math"/>
              </w:rPr>
              <m:t>I</m:t>
            </m:r>
          </m:e>
          <m:sub>
            <m:r>
              <w:rPr>
                <w:rFonts w:ascii="Cambria Math" w:hAnsi="Cambria Math"/>
              </w:rPr>
              <m:t>2j</m:t>
            </m:r>
          </m:sub>
          <m:sup>
            <m:r>
              <w:rPr>
                <w:rFonts w:ascii="Cambria Math" w:hAnsi="Cambria Math"/>
              </w:rPr>
              <m:t>*</m:t>
            </m:r>
          </m:sup>
        </m:sSubSup>
        <m:r>
          <w:rPr>
            <w:rFonts w:ascii="Cambria Math" w:hAnsi="Cambria Math"/>
          </w:rPr>
          <m:t xml:space="preserve"> </m:t>
        </m:r>
      </m:oMath>
      <w:r>
        <w:t>are unobserved latent variables</w:t>
      </w:r>
      <w:r w:rsidR="00251628">
        <w:t xml:space="preserve">. It is assumed that the relationship between observed and unobserved mobility status is </w:t>
      </w:r>
      <w:r>
        <w:t xml:space="preserve"> </w:t>
      </w:r>
      <m:oMath>
        <m:sSub>
          <m:sSubPr>
            <m:ctrlPr>
              <w:rPr>
                <w:rFonts w:ascii="Cambria Math" w:hAnsi="Cambria Math"/>
                <w:i/>
              </w:rPr>
            </m:ctrlPr>
          </m:sSubPr>
          <m:e>
            <m:r>
              <w:rPr>
                <w:rFonts w:ascii="Cambria Math" w:hAnsi="Cambria Math"/>
              </w:rPr>
              <m:t>I</m:t>
            </m:r>
          </m:e>
          <m:sub>
            <m:r>
              <w:rPr>
                <w:rFonts w:ascii="Cambria Math" w:hAnsi="Cambria Math"/>
              </w:rPr>
              <m:t>ij</m:t>
            </m:r>
          </m:sub>
        </m:sSub>
      </m:oMath>
      <w:r>
        <w:t xml:space="preserve">=1 if  </w:t>
      </w:r>
      <m:oMath>
        <m:sSubSup>
          <m:sSubSupPr>
            <m:ctrlPr>
              <w:rPr>
                <w:rFonts w:ascii="Cambria Math" w:hAnsi="Cambria Math"/>
                <w:i/>
              </w:rPr>
            </m:ctrlPr>
          </m:sSubSupPr>
          <m:e>
            <m:r>
              <w:rPr>
                <w:rFonts w:ascii="Cambria Math" w:hAnsi="Cambria Math"/>
              </w:rPr>
              <m:t>I</m:t>
            </m:r>
          </m:e>
          <m:sub>
            <m:r>
              <w:rPr>
                <w:rFonts w:ascii="Cambria Math" w:hAnsi="Cambria Math"/>
              </w:rPr>
              <m:t>ij</m:t>
            </m:r>
          </m:sub>
          <m:sup>
            <m:r>
              <w:rPr>
                <w:rFonts w:ascii="Cambria Math" w:hAnsi="Cambria Math"/>
              </w:rPr>
              <m:t>*</m:t>
            </m:r>
          </m:sup>
        </m:sSubSup>
        <m:r>
          <w:rPr>
            <w:rFonts w:ascii="Cambria Math" w:hAnsi="Cambria Math"/>
          </w:rPr>
          <m:t xml:space="preserve"> </m:t>
        </m:r>
      </m:oMath>
      <w:r>
        <w:t xml:space="preserve">&gt;0 and </w:t>
      </w:r>
      <m:oMath>
        <m:sSub>
          <m:sSubPr>
            <m:ctrlPr>
              <w:rPr>
                <w:rFonts w:ascii="Cambria Math" w:hAnsi="Cambria Math"/>
                <w:i/>
              </w:rPr>
            </m:ctrlPr>
          </m:sSubPr>
          <m:e>
            <m:r>
              <w:rPr>
                <w:rFonts w:ascii="Cambria Math" w:hAnsi="Cambria Math"/>
              </w:rPr>
              <m:t>I</m:t>
            </m:r>
          </m:e>
          <m:sub>
            <m:r>
              <w:rPr>
                <w:rFonts w:ascii="Cambria Math" w:hAnsi="Cambria Math"/>
              </w:rPr>
              <m:t>ij</m:t>
            </m:r>
          </m:sub>
        </m:sSub>
      </m:oMath>
      <w:r>
        <w:t xml:space="preserve">=0 otherwise (for </w:t>
      </w:r>
      <w:r w:rsidRPr="00B633F8">
        <w:rPr>
          <w:i/>
        </w:rPr>
        <w:t>i</w:t>
      </w:r>
      <w:r>
        <w:t xml:space="preserve">=1,2). The vectors </w:t>
      </w:r>
      <w:r w:rsidR="00085D22">
        <w:rPr>
          <w:rFonts w:asciiTheme="majorHAnsi" w:hAnsiTheme="majorHAnsi"/>
          <w:i/>
        </w:rPr>
        <w:t>w</w:t>
      </w:r>
      <w:r w:rsidR="00085D22">
        <w:t xml:space="preserve"> </w:t>
      </w:r>
      <w:r>
        <w:t xml:space="preserve">and </w:t>
      </w:r>
      <w:r w:rsidR="002B66B0">
        <w:rPr>
          <w:rFonts w:asciiTheme="majorHAnsi" w:hAnsiTheme="majorHAnsi"/>
          <w:i/>
        </w:rPr>
        <w:t>v</w:t>
      </w:r>
      <w:r w:rsidR="002B66B0">
        <w:t xml:space="preserve"> </w:t>
      </w:r>
      <w:r>
        <w:t xml:space="preserve">contain variables known to influence the decision of student </w:t>
      </w:r>
      <w:r w:rsidRPr="00FB2FCA">
        <w:rPr>
          <w:rFonts w:asciiTheme="majorHAnsi" w:hAnsiTheme="majorHAnsi"/>
          <w:i/>
        </w:rPr>
        <w:t>j</w:t>
      </w:r>
      <w:r>
        <w:rPr>
          <w:rFonts w:asciiTheme="majorHAnsi" w:hAnsiTheme="majorHAnsi"/>
          <w:i/>
        </w:rPr>
        <w:t xml:space="preserve"> </w:t>
      </w:r>
      <w:r w:rsidRPr="00477FB4">
        <w:t>to migrate,</w:t>
      </w:r>
      <w:r>
        <w:t xml:space="preserve"> </w:t>
      </w:r>
      <m:oMath>
        <m:r>
          <w:rPr>
            <w:rFonts w:ascii="Cambria Math" w:hAnsi="Cambria Math"/>
          </w:rPr>
          <m:t>δ</m:t>
        </m:r>
      </m:oMath>
      <w:r>
        <w:t xml:space="preserve"> and </w:t>
      </w:r>
      <w:r w:rsidRPr="00FB2FCA">
        <w:rPr>
          <w:rFonts w:asciiTheme="majorHAnsi" w:hAnsiTheme="majorHAnsi"/>
          <w:i/>
        </w:rPr>
        <w:t>γ</w:t>
      </w:r>
      <w:r>
        <w:t xml:space="preserve"> are conformable vectors of returns to these characteristics and </w:t>
      </w:r>
      <w:r w:rsidRPr="00E02915">
        <w:rPr>
          <w:i/>
        </w:rPr>
        <w:t>ε</w:t>
      </w:r>
      <w:r w:rsidRPr="00E02915">
        <w:rPr>
          <w:i/>
          <w:vertAlign w:val="subscript"/>
        </w:rPr>
        <w:t>1</w:t>
      </w:r>
      <w:r>
        <w:t xml:space="preserve"> and </w:t>
      </w:r>
      <w:r w:rsidRPr="00C25766">
        <w:rPr>
          <w:i/>
        </w:rPr>
        <w:t>ε</w:t>
      </w:r>
      <w:r w:rsidRPr="00E02915">
        <w:rPr>
          <w:rFonts w:asciiTheme="majorHAnsi" w:hAnsiTheme="majorHAnsi"/>
          <w:i/>
          <w:vertAlign w:val="subscript"/>
        </w:rPr>
        <w:t>2</w:t>
      </w:r>
      <w:r>
        <w:t xml:space="preserve"> are normally distributed </w:t>
      </w:r>
      <w:r w:rsidR="00FD0B22">
        <w:t xml:space="preserve">random </w:t>
      </w:r>
      <w:r>
        <w:t xml:space="preserve">error terms. Under the assumption that </w:t>
      </w:r>
      <w:r w:rsidR="00251628">
        <w:t xml:space="preserve">the error terms in equations </w:t>
      </w:r>
      <w:r>
        <w:t xml:space="preserve">[1] and [2] are </w:t>
      </w:r>
      <w:r w:rsidR="00251628">
        <w:t xml:space="preserve">potentially correlated, there are efficiency gains in simultaneously estimating the model via </w:t>
      </w:r>
      <w:r>
        <w:t xml:space="preserve">bivariate probit </w:t>
      </w:r>
      <w:r w:rsidR="00FD0B22">
        <w:t>with</w:t>
      </w:r>
      <w:r>
        <w:t xml:space="preserve"> Cov </w:t>
      </w:r>
      <m:oMath>
        <m:d>
          <m:dPr>
            <m:ctrlPr>
              <w:rPr>
                <w:rFonts w:ascii="Cambria Math" w:hAnsi="Cambria Math"/>
                <w:i/>
              </w:rPr>
            </m:ctrlPr>
          </m:dPr>
          <m:e>
            <m:sSub>
              <m:sSubPr>
                <m:ctrlPr>
                  <w:rPr>
                    <w:rFonts w:ascii="Cambria Math" w:hAnsi="Cambria Math"/>
                    <w:i/>
                  </w:rPr>
                </m:ctrlPr>
              </m:sSubPr>
              <m:e>
                <m:r>
                  <w:rPr>
                    <w:rFonts w:ascii="Cambria Math" w:hAnsi="Cambria Math"/>
                  </w:rPr>
                  <m:t>ϵ</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2</m:t>
                </m:r>
              </m:sub>
            </m:sSub>
          </m:e>
        </m:d>
        <m:r>
          <w:rPr>
            <w:rFonts w:ascii="Cambria Math" w:hAnsi="Cambria Math"/>
          </w:rPr>
          <m:t>=ρ</m:t>
        </m:r>
      </m:oMath>
      <w:r>
        <w:t xml:space="preserve">. </w:t>
      </w:r>
    </w:p>
    <w:p w:rsidR="00251628" w:rsidP="00FC2291" w:rsidRDefault="00251628">
      <w:pPr>
        <w:spacing w:after="0" w:line="360" w:lineRule="auto"/>
        <w:jc w:val="both"/>
      </w:pPr>
    </w:p>
    <w:p w:rsidR="00E648C1" w:rsidP="00FC2291" w:rsidRDefault="00E648C1">
      <w:pPr>
        <w:spacing w:after="0" w:line="360" w:lineRule="auto"/>
        <w:jc w:val="both"/>
      </w:pPr>
      <w:r>
        <w:t xml:space="preserve">Given the distinction between first stage </w:t>
      </w:r>
      <w:r w:rsidR="007A1F84">
        <w:t xml:space="preserve">mobility </w:t>
      </w:r>
      <w:r w:rsidR="00FD0B22">
        <w:t xml:space="preserve">i.e. </w:t>
      </w:r>
      <w:r w:rsidR="007A1F84">
        <w:t xml:space="preserve">domicile </w:t>
      </w:r>
      <w:r w:rsidR="00FD0B22">
        <w:t xml:space="preserve">to </w:t>
      </w:r>
      <w:r w:rsidR="007A1F84">
        <w:t xml:space="preserve">university and </w:t>
      </w:r>
      <w:r>
        <w:t xml:space="preserve">the second stage </w:t>
      </w:r>
      <w:r w:rsidR="007A1F84">
        <w:t xml:space="preserve">from university to </w:t>
      </w:r>
      <w:r>
        <w:t xml:space="preserve">employment, </w:t>
      </w:r>
      <w:r w:rsidR="00412CB0">
        <w:t>we mirror</w:t>
      </w:r>
      <w:r>
        <w:t xml:space="preserve"> the classification adopted by DaVanzo (1983):</w:t>
      </w:r>
    </w:p>
    <w:p w:rsidR="00E648C1" w:rsidP="00FC2291" w:rsidRDefault="00E648C1">
      <w:pPr>
        <w:spacing w:after="0" w:line="360" w:lineRule="auto"/>
        <w:jc w:val="both"/>
      </w:pPr>
    </w:p>
    <w:p w:rsidR="00E648C1" w:rsidP="00FC2291" w:rsidRDefault="00E648C1">
      <w:pPr>
        <w:spacing w:after="0" w:line="360" w:lineRule="auto"/>
        <w:jc w:val="both"/>
      </w:pPr>
      <w:r>
        <w:t xml:space="preserve">A. </w:t>
      </w:r>
      <w:r w:rsidRPr="00CD04D0">
        <w:rPr>
          <w:i/>
        </w:rPr>
        <w:t>Non-Movers</w:t>
      </w:r>
      <w:r>
        <w:t xml:space="preserve">: those who attend university and work in the same </w:t>
      </w:r>
      <w:r w:rsidR="00A81BA4">
        <w:t xml:space="preserve">location </w:t>
      </w:r>
      <w:r>
        <w:t>as their home domicile (</w:t>
      </w:r>
      <w:r w:rsidRPr="00CD04D0">
        <w:rPr>
          <w:rFonts w:asciiTheme="majorHAnsi" w:hAnsiTheme="majorHAnsi"/>
          <w:i/>
        </w:rPr>
        <w:t>I</w:t>
      </w:r>
      <w:r w:rsidRPr="00CD04D0">
        <w:rPr>
          <w:rFonts w:asciiTheme="majorHAnsi" w:hAnsiTheme="majorHAnsi"/>
          <w:vertAlign w:val="subscript"/>
        </w:rPr>
        <w:t>1</w:t>
      </w:r>
      <w:r>
        <w:t xml:space="preserve">=0, </w:t>
      </w:r>
      <w:r w:rsidRPr="00CD04D0">
        <w:rPr>
          <w:rFonts w:asciiTheme="majorHAnsi" w:hAnsiTheme="majorHAnsi"/>
          <w:i/>
        </w:rPr>
        <w:t>I</w:t>
      </w:r>
      <w:r w:rsidRPr="00CD04D0">
        <w:rPr>
          <w:rFonts w:asciiTheme="majorHAnsi" w:hAnsiTheme="majorHAnsi"/>
          <w:vertAlign w:val="subscript"/>
        </w:rPr>
        <w:t>2</w:t>
      </w:r>
      <w:r>
        <w:t>=0);</w:t>
      </w:r>
    </w:p>
    <w:p w:rsidR="00E648C1" w:rsidP="00FC2291" w:rsidRDefault="00E648C1">
      <w:pPr>
        <w:spacing w:after="0" w:line="360" w:lineRule="auto"/>
        <w:jc w:val="both"/>
      </w:pPr>
      <w:r>
        <w:t xml:space="preserve">B. </w:t>
      </w:r>
      <w:r w:rsidRPr="00CD04D0">
        <w:rPr>
          <w:i/>
        </w:rPr>
        <w:t>Move-Returners</w:t>
      </w:r>
      <w:r>
        <w:t xml:space="preserve">: those who move from their domicile </w:t>
      </w:r>
      <w:r w:rsidR="00A81BA4">
        <w:t xml:space="preserve">location </w:t>
      </w:r>
      <w:r>
        <w:t>to attend university but subsequently return to work (</w:t>
      </w:r>
      <w:r w:rsidRPr="00CD04D0">
        <w:rPr>
          <w:rFonts w:asciiTheme="majorHAnsi" w:hAnsiTheme="majorHAnsi"/>
          <w:i/>
        </w:rPr>
        <w:t>I</w:t>
      </w:r>
      <w:r w:rsidRPr="00CD04D0">
        <w:rPr>
          <w:rFonts w:asciiTheme="majorHAnsi" w:hAnsiTheme="majorHAnsi"/>
          <w:vertAlign w:val="subscript"/>
        </w:rPr>
        <w:t>1</w:t>
      </w:r>
      <w:r>
        <w:t xml:space="preserve">=1, </w:t>
      </w:r>
      <w:r w:rsidRPr="00CD04D0">
        <w:rPr>
          <w:rFonts w:asciiTheme="majorHAnsi" w:hAnsiTheme="majorHAnsi"/>
          <w:i/>
        </w:rPr>
        <w:t>I</w:t>
      </w:r>
      <w:r w:rsidRPr="00CD04D0">
        <w:rPr>
          <w:rFonts w:asciiTheme="majorHAnsi" w:hAnsiTheme="majorHAnsi"/>
          <w:vertAlign w:val="subscript"/>
        </w:rPr>
        <w:t>2</w:t>
      </w:r>
      <w:r>
        <w:t>=1);</w:t>
      </w:r>
    </w:p>
    <w:p w:rsidR="00E648C1" w:rsidP="00FC2291" w:rsidRDefault="00E648C1">
      <w:pPr>
        <w:spacing w:after="0" w:line="360" w:lineRule="auto"/>
        <w:jc w:val="both"/>
      </w:pPr>
      <w:r>
        <w:t xml:space="preserve">C. </w:t>
      </w:r>
      <w:r w:rsidRPr="00957546">
        <w:rPr>
          <w:i/>
        </w:rPr>
        <w:t>Stay-Leavers</w:t>
      </w:r>
      <w:r>
        <w:t xml:space="preserve">: those who remain in their domicile </w:t>
      </w:r>
      <w:r w:rsidR="00A81BA4">
        <w:t xml:space="preserve">location </w:t>
      </w:r>
      <w:r>
        <w:t xml:space="preserve">to attend university but subsequently leave for employment in another </w:t>
      </w:r>
      <w:r w:rsidR="00A81BA4">
        <w:t xml:space="preserve">location </w:t>
      </w:r>
      <w:r>
        <w:t>(</w:t>
      </w:r>
      <w:r w:rsidRPr="00CD04D0">
        <w:rPr>
          <w:rFonts w:asciiTheme="majorHAnsi" w:hAnsiTheme="majorHAnsi"/>
          <w:i/>
        </w:rPr>
        <w:t>I</w:t>
      </w:r>
      <w:r w:rsidRPr="00CD04D0">
        <w:rPr>
          <w:rFonts w:asciiTheme="majorHAnsi" w:hAnsiTheme="majorHAnsi"/>
          <w:vertAlign w:val="subscript"/>
        </w:rPr>
        <w:t>1</w:t>
      </w:r>
      <w:r>
        <w:t xml:space="preserve">=0, </w:t>
      </w:r>
      <w:r w:rsidRPr="00CD04D0">
        <w:rPr>
          <w:rFonts w:asciiTheme="majorHAnsi" w:hAnsiTheme="majorHAnsi"/>
          <w:i/>
        </w:rPr>
        <w:t>I</w:t>
      </w:r>
      <w:r w:rsidRPr="00CD04D0">
        <w:rPr>
          <w:rFonts w:asciiTheme="majorHAnsi" w:hAnsiTheme="majorHAnsi"/>
          <w:vertAlign w:val="subscript"/>
        </w:rPr>
        <w:t>2</w:t>
      </w:r>
      <w:r>
        <w:t>=1);</w:t>
      </w:r>
    </w:p>
    <w:p w:rsidR="00E648C1" w:rsidP="00FC2291" w:rsidRDefault="00E648C1">
      <w:pPr>
        <w:spacing w:after="0" w:line="360" w:lineRule="auto"/>
        <w:jc w:val="both"/>
      </w:pPr>
      <w:r>
        <w:t>D</w:t>
      </w:r>
      <w:r w:rsidR="007E5087">
        <w:t>.</w:t>
      </w:r>
      <w:r>
        <w:t xml:space="preserve"> </w:t>
      </w:r>
      <w:r w:rsidRPr="009B2CCE">
        <w:rPr>
          <w:i/>
        </w:rPr>
        <w:t>Leave-Stayers</w:t>
      </w:r>
      <w:r>
        <w:t xml:space="preserve">: those who move from their domicile </w:t>
      </w:r>
      <w:r w:rsidR="00A81BA4">
        <w:t xml:space="preserve">location </w:t>
      </w:r>
      <w:r>
        <w:t xml:space="preserve">to attend university and subsequently remain in this same </w:t>
      </w:r>
      <w:r w:rsidR="00A81BA4">
        <w:t xml:space="preserve">location </w:t>
      </w:r>
      <w:r>
        <w:t>for employment (</w:t>
      </w:r>
      <w:r w:rsidRPr="00CD04D0">
        <w:rPr>
          <w:rFonts w:asciiTheme="majorHAnsi" w:hAnsiTheme="majorHAnsi"/>
          <w:i/>
        </w:rPr>
        <w:t>I</w:t>
      </w:r>
      <w:r w:rsidRPr="00CD04D0">
        <w:rPr>
          <w:rFonts w:asciiTheme="majorHAnsi" w:hAnsiTheme="majorHAnsi"/>
          <w:vertAlign w:val="subscript"/>
        </w:rPr>
        <w:t>1</w:t>
      </w:r>
      <w:r>
        <w:t xml:space="preserve">=1, </w:t>
      </w:r>
      <w:r w:rsidRPr="00CD04D0">
        <w:rPr>
          <w:rFonts w:asciiTheme="majorHAnsi" w:hAnsiTheme="majorHAnsi"/>
          <w:i/>
        </w:rPr>
        <w:t>I</w:t>
      </w:r>
      <w:r w:rsidRPr="00CD04D0">
        <w:rPr>
          <w:rFonts w:asciiTheme="majorHAnsi" w:hAnsiTheme="majorHAnsi"/>
          <w:vertAlign w:val="subscript"/>
        </w:rPr>
        <w:t>2</w:t>
      </w:r>
      <w:r>
        <w:t>=0);</w:t>
      </w:r>
    </w:p>
    <w:p w:rsidR="00E648C1" w:rsidP="00FC2291" w:rsidRDefault="00E648C1">
      <w:pPr>
        <w:spacing w:after="0" w:line="360" w:lineRule="auto"/>
        <w:jc w:val="both"/>
      </w:pPr>
      <w:r>
        <w:t xml:space="preserve">E. </w:t>
      </w:r>
      <w:r w:rsidRPr="00957546">
        <w:rPr>
          <w:i/>
        </w:rPr>
        <w:t>No</w:t>
      </w:r>
      <w:r>
        <w:rPr>
          <w:i/>
        </w:rPr>
        <w:t>n</w:t>
      </w:r>
      <w:r w:rsidRPr="00957546">
        <w:rPr>
          <w:i/>
        </w:rPr>
        <w:t>-Return</w:t>
      </w:r>
      <w:r>
        <w:rPr>
          <w:i/>
        </w:rPr>
        <w:t>ing</w:t>
      </w:r>
      <w:r w:rsidRPr="00957546">
        <w:rPr>
          <w:i/>
        </w:rPr>
        <w:t xml:space="preserve"> Double-Movers</w:t>
      </w:r>
      <w:r>
        <w:t xml:space="preserve">: those who move from their domicile </w:t>
      </w:r>
      <w:r w:rsidR="00A81BA4">
        <w:t xml:space="preserve">location </w:t>
      </w:r>
      <w:r>
        <w:t xml:space="preserve">to attend university and subsequently move again to another </w:t>
      </w:r>
      <w:r w:rsidR="00A81BA4">
        <w:t xml:space="preserve">location </w:t>
      </w:r>
      <w:r>
        <w:t xml:space="preserve">(which is not their home domicile) for </w:t>
      </w:r>
      <w:r>
        <w:lastRenderedPageBreak/>
        <w:t>employment</w:t>
      </w:r>
      <w:r w:rsidR="009E0662">
        <w:t xml:space="preserve">. While this involves a double move in the same way as for move-returners (B), this second stage movement </w:t>
      </w:r>
      <w:r w:rsidR="00F7437A">
        <w:t xml:space="preserve"> involves</w:t>
      </w:r>
      <w:r w:rsidR="009E0662">
        <w:t xml:space="preserve"> any location other than the original domicile </w:t>
      </w:r>
      <w:r>
        <w:t xml:space="preserve"> (</w:t>
      </w:r>
      <w:r w:rsidRPr="00CD04D0">
        <w:rPr>
          <w:rFonts w:asciiTheme="majorHAnsi" w:hAnsiTheme="majorHAnsi"/>
          <w:i/>
        </w:rPr>
        <w:t>I</w:t>
      </w:r>
      <w:r w:rsidRPr="00CD04D0">
        <w:rPr>
          <w:rFonts w:asciiTheme="majorHAnsi" w:hAnsiTheme="majorHAnsi"/>
          <w:vertAlign w:val="subscript"/>
        </w:rPr>
        <w:t>1</w:t>
      </w:r>
      <w:r>
        <w:t xml:space="preserve">=1, </w:t>
      </w:r>
      <w:r w:rsidRPr="00CD04D0">
        <w:rPr>
          <w:rFonts w:asciiTheme="majorHAnsi" w:hAnsiTheme="majorHAnsi"/>
          <w:i/>
        </w:rPr>
        <w:t>I</w:t>
      </w:r>
      <w:r w:rsidRPr="00CD04D0">
        <w:rPr>
          <w:rFonts w:asciiTheme="majorHAnsi" w:hAnsiTheme="majorHAnsi"/>
          <w:vertAlign w:val="subscript"/>
        </w:rPr>
        <w:t>2</w:t>
      </w:r>
      <w:r>
        <w:t>=1).</w:t>
      </w:r>
    </w:p>
    <w:p w:rsidR="00E648C1" w:rsidP="00FC2291" w:rsidRDefault="00E648C1">
      <w:pPr>
        <w:spacing w:after="0" w:line="360" w:lineRule="auto"/>
        <w:jc w:val="both"/>
      </w:pPr>
    </w:p>
    <w:p w:rsidR="007630BD" w:rsidP="00FC2291" w:rsidRDefault="00EE465E">
      <w:pPr>
        <w:spacing w:after="0" w:line="360" w:lineRule="auto"/>
        <w:jc w:val="both"/>
      </w:pPr>
      <w:r>
        <w:t>M</w:t>
      </w:r>
      <w:r w:rsidR="008E1101">
        <w:t xml:space="preserve">obility </w:t>
      </w:r>
      <w:r w:rsidR="00DC4E17">
        <w:t xml:space="preserve">from one location to another </w:t>
      </w:r>
      <w:r>
        <w:t xml:space="preserve">is defined </w:t>
      </w:r>
      <w:r w:rsidR="009C5666">
        <w:t xml:space="preserve">by </w:t>
      </w:r>
      <w:r w:rsidR="008E1101">
        <w:t xml:space="preserve">reference to the distance between </w:t>
      </w:r>
      <w:r w:rsidR="00DC4E17">
        <w:t>them</w:t>
      </w:r>
      <w:r w:rsidR="008E1101">
        <w:t xml:space="preserve">. Data available within the DLHE allow us to calculate the straight line distance in kilometres from </w:t>
      </w:r>
      <w:r w:rsidR="00DC4E17">
        <w:t xml:space="preserve">the </w:t>
      </w:r>
      <w:r w:rsidR="008E1101">
        <w:t xml:space="preserve">three key locations </w:t>
      </w:r>
      <w:r w:rsidR="00DC4E17">
        <w:t>of domicile, university and employment</w:t>
      </w:r>
      <w:r w:rsidR="007E5087">
        <w:t>. W</w:t>
      </w:r>
      <w:r w:rsidR="008E1101">
        <w:t xml:space="preserve">e can set </w:t>
      </w:r>
      <w:r w:rsidR="001008F3">
        <w:t xml:space="preserve">a </w:t>
      </w:r>
      <w:r w:rsidR="008E1101">
        <w:t xml:space="preserve">threshold </w:t>
      </w:r>
      <w:r w:rsidRPr="00EC12E9" w:rsidR="00EC12E9">
        <w:t xml:space="preserve">at any defined distance level </w:t>
      </w:r>
      <w:r w:rsidR="001008F3">
        <w:t xml:space="preserve">distinguishing between movers and </w:t>
      </w:r>
      <w:r w:rsidR="00DC4E17">
        <w:t>non-movers</w:t>
      </w:r>
      <w:r w:rsidR="008E1101">
        <w:t>.</w:t>
      </w:r>
      <w:r w:rsidR="008E1101">
        <w:rPr>
          <w:rStyle w:val="EndnoteReference"/>
        </w:rPr>
        <w:endnoteReference w:id="7"/>
      </w:r>
      <w:r w:rsidR="008E1101">
        <w:t xml:space="preserve"> </w:t>
      </w:r>
      <w:r w:rsidR="009C5666">
        <w:t>W</w:t>
      </w:r>
      <w:r w:rsidR="008E1101">
        <w:t xml:space="preserve">e systematically </w:t>
      </w:r>
      <w:r w:rsidR="00DC4E17">
        <w:t xml:space="preserve">increase </w:t>
      </w:r>
      <w:r w:rsidR="001008F3">
        <w:t>the distance</w:t>
      </w:r>
      <w:r w:rsidR="008E1101">
        <w:t xml:space="preserve"> threshold</w:t>
      </w:r>
      <w:r w:rsidR="00DC4E17">
        <w:t>,</w:t>
      </w:r>
      <w:r w:rsidR="008E1101">
        <w:t xml:space="preserve"> </w:t>
      </w:r>
      <w:r w:rsidR="001008F3">
        <w:t xml:space="preserve">starting at </w:t>
      </w:r>
      <w:r w:rsidR="008E1101">
        <w:t xml:space="preserve">5km </w:t>
      </w:r>
      <w:r w:rsidR="00DC4E17">
        <w:t>through</w:t>
      </w:r>
      <w:r w:rsidR="001008F3">
        <w:t xml:space="preserve"> to</w:t>
      </w:r>
      <w:r w:rsidR="008E1101">
        <w:t xml:space="preserve"> 100km</w:t>
      </w:r>
      <w:r w:rsidR="00DC4E17">
        <w:t xml:space="preserve">, although in what follows we concentrate upon three key points at 25, 50 and 100km. This enables </w:t>
      </w:r>
      <w:r w:rsidR="008E1101">
        <w:t xml:space="preserve"> the sensitivity of the results to the chosen distance measure</w:t>
      </w:r>
      <w:r w:rsidR="00DC4E17">
        <w:t xml:space="preserve"> to be gauged.</w:t>
      </w:r>
      <w:r w:rsidR="002B66B0">
        <w:t xml:space="preserve"> </w:t>
      </w:r>
      <w:r w:rsidR="00A06DF6">
        <w:t>This approach has not been previously utilised in the literature.</w:t>
      </w:r>
      <w:r w:rsidR="007630BD">
        <w:t xml:space="preserve"> </w:t>
      </w:r>
    </w:p>
    <w:p w:rsidR="00E35C8E" w:rsidP="00FC2291" w:rsidRDefault="00E35C8E">
      <w:pPr>
        <w:spacing w:after="0" w:line="360" w:lineRule="auto"/>
        <w:jc w:val="both"/>
      </w:pPr>
    </w:p>
    <w:p w:rsidR="00B328F2" w:rsidP="00FC2291" w:rsidRDefault="00E648C1">
      <w:pPr>
        <w:spacing w:after="0" w:line="360" w:lineRule="auto"/>
        <w:jc w:val="both"/>
      </w:pPr>
      <w:r>
        <w:t xml:space="preserve">Given this classification, we </w:t>
      </w:r>
      <w:r w:rsidR="00AC6E8A">
        <w:t>subsequently l</w:t>
      </w:r>
      <w:r>
        <w:t>abel groups B through E as movers (</w:t>
      </w:r>
      <w:r w:rsidRPr="00C25766">
        <w:rPr>
          <w:rFonts w:asciiTheme="majorHAnsi" w:hAnsiTheme="majorHAnsi"/>
          <w:i/>
        </w:rPr>
        <w:t>M</w:t>
      </w:r>
      <w:r>
        <w:t>), where each classification is a distinctly identifiable group of movers, and group A as non-movers (</w:t>
      </w:r>
      <w:r w:rsidRPr="00C25766">
        <w:rPr>
          <w:rFonts w:asciiTheme="majorHAnsi" w:hAnsiTheme="majorHAnsi"/>
          <w:i/>
        </w:rPr>
        <w:t>N</w:t>
      </w:r>
      <w:r>
        <w:t>)</w:t>
      </w:r>
      <w:r w:rsidR="00EF29B3">
        <w:t>.</w:t>
      </w:r>
      <w:r w:rsidR="007630BD">
        <w:t xml:space="preserve"> The earning</w:t>
      </w:r>
      <w:r w:rsidR="00E35C8E">
        <w:t>s</w:t>
      </w:r>
      <w:r w:rsidR="007630BD">
        <w:t xml:space="preserve"> of </w:t>
      </w:r>
      <w:r w:rsidR="00E35C8E">
        <w:t xml:space="preserve">each variety of mover category </w:t>
      </w:r>
      <w:r w:rsidR="007630BD">
        <w:t xml:space="preserve">and non-movers can then be estimated. </w:t>
      </w:r>
      <w:r w:rsidR="001B1246">
        <w:t xml:space="preserve">Standard linear regression techniques </w:t>
      </w:r>
      <w:r w:rsidR="00A87C15">
        <w:t xml:space="preserve">estimate </w:t>
      </w:r>
      <w:r w:rsidR="001B1246">
        <w:t>the average relationship between the outcome variable and regressors based upon the conditional mean</w:t>
      </w:r>
      <w:r w:rsidR="00A87C15">
        <w:t>. T</w:t>
      </w:r>
      <w:r w:rsidR="001B1246">
        <w:t xml:space="preserve">his provides only a partial view and fails to describe the relationship at different points in the conditional earnings distribution. In contrast, quantile regression </w:t>
      </w:r>
      <w:r w:rsidR="00E35C8E">
        <w:t xml:space="preserve">methods </w:t>
      </w:r>
      <w:r w:rsidR="00CC2D62">
        <w:t xml:space="preserve">(see Koenker and Bassett, 1978) </w:t>
      </w:r>
      <w:r w:rsidR="001B1246">
        <w:t>provide the capability to infer outcomes across the entire conditional distribution</w:t>
      </w:r>
      <w:r w:rsidR="00CC2D62">
        <w:t>.</w:t>
      </w:r>
      <w:r w:rsidR="002266BD">
        <w:rPr>
          <w:rStyle w:val="EndnoteReference"/>
        </w:rPr>
        <w:endnoteReference w:id="8"/>
      </w:r>
      <w:r w:rsidR="00CC2D62">
        <w:t xml:space="preserve"> As such, the </w:t>
      </w:r>
      <w:r w:rsidR="00520850">
        <w:t xml:space="preserve">estimated </w:t>
      </w:r>
      <w:r w:rsidR="00B2279C">
        <w:t>conditional quantile</w:t>
      </w:r>
      <w:r w:rsidR="00520850">
        <w:t xml:space="preserve"> (</w:t>
      </w:r>
      <w:r w:rsidRPr="00C25766" w:rsidR="00520850">
        <w:rPr>
          <w:rFonts w:asciiTheme="majorHAnsi" w:hAnsiTheme="majorHAnsi" w:cstheme="minorHAnsi"/>
          <w:i/>
        </w:rPr>
        <w:t>θ</w:t>
      </w:r>
      <w:r w:rsidR="00520850">
        <w:t>th)</w:t>
      </w:r>
      <w:r w:rsidR="00B2279C">
        <w:t xml:space="preserve"> </w:t>
      </w:r>
      <w:r>
        <w:t xml:space="preserve">earnings </w:t>
      </w:r>
      <w:r w:rsidR="00B2279C">
        <w:t>may be written as</w:t>
      </w:r>
      <w:r>
        <w:t>:</w:t>
      </w:r>
    </w:p>
    <w:p w:rsidR="00CC2D62" w:rsidP="00FC2291" w:rsidRDefault="00CC2D62">
      <w:pPr>
        <w:spacing w:after="0" w:line="360" w:lineRule="auto"/>
        <w:jc w:val="both"/>
      </w:pPr>
    </w:p>
    <w:p w:rsidR="00E648C1" w:rsidP="00C25766" w:rsidRDefault="00B2279C">
      <w:pPr>
        <w:tabs>
          <w:tab w:val="right" w:pos="9026"/>
        </w:tabs>
        <w:spacing w:after="0" w:line="360" w:lineRule="auto"/>
        <w:jc w:val="both"/>
      </w:pPr>
      <w:r>
        <w:t xml:space="preserve">                        </w:t>
      </w:r>
      <w:r w:rsidR="00E648C1">
        <w:t xml:space="preserve"> </w:t>
      </w:r>
      <m:oMath>
        <m:sSup>
          <m:sSupPr>
            <m:ctrlPr>
              <w:rPr>
                <w:rFonts w:ascii="Cambria Math" w:hAnsi="Cambria Math"/>
                <w:i/>
              </w:rPr>
            </m:ctrlPr>
          </m:sSupPr>
          <m:e>
            <m:r>
              <w:rPr>
                <w:rFonts w:ascii="Cambria Math" w:hAnsi="Cambria Math"/>
              </w:rPr>
              <m:t>Q</m:t>
            </m:r>
          </m:e>
          <m:sup>
            <m:r>
              <w:rPr>
                <w:rFonts w:ascii="Cambria Math" w:hAnsi="Cambria Math"/>
              </w:rPr>
              <m:t>θ</m:t>
            </m:r>
          </m:sup>
        </m:sSup>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k</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k</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k</m:t>
            </m:r>
          </m:sup>
        </m:sSup>
        <m:sSup>
          <m:sSupPr>
            <m:ctrlPr>
              <w:rPr>
                <w:rFonts w:ascii="Cambria Math" w:hAnsi="Cambria Math"/>
                <w:i/>
              </w:rPr>
            </m:ctrlPr>
          </m:sSupPr>
          <m:e>
            <m:r>
              <w:rPr>
                <w:rFonts w:ascii="Cambria Math" w:hAnsi="Cambria Math"/>
              </w:rPr>
              <m:t>β</m:t>
            </m:r>
          </m:e>
          <m:sup>
            <m:r>
              <w:rPr>
                <w:rFonts w:ascii="Cambria Math" w:hAnsi="Cambria Math"/>
              </w:rPr>
              <m:t>θ,k</m:t>
            </m:r>
          </m:sup>
        </m:sSup>
      </m:oMath>
      <w:r w:rsidR="00E648C1">
        <w:tab/>
        <w:t>[3]</w:t>
      </w:r>
    </w:p>
    <w:p w:rsidR="00805D4A" w:rsidP="00B507E6" w:rsidRDefault="00805D4A">
      <w:pPr>
        <w:spacing w:after="0" w:line="360" w:lineRule="auto"/>
        <w:jc w:val="both"/>
      </w:pPr>
    </w:p>
    <w:p w:rsidR="00754AD6" w:rsidP="00B507E6" w:rsidRDefault="00B507E6">
      <w:pPr>
        <w:spacing w:after="0" w:line="360" w:lineRule="auto"/>
        <w:jc w:val="both"/>
      </w:pPr>
      <w:r w:rsidRPr="006742E6">
        <w:t xml:space="preserve">where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k</m:t>
            </m:r>
          </m:sup>
        </m:sSup>
      </m:oMath>
      <w:r w:rsidRPr="006742E6" w:rsidR="006742E6">
        <w:t xml:space="preserve"> </w:t>
      </w:r>
      <w:r w:rsidR="004A17CD">
        <w:t xml:space="preserve">is log </w:t>
      </w:r>
      <w:r w:rsidRPr="006742E6" w:rsidR="006742E6">
        <w:t>earnings</w:t>
      </w:r>
      <w:r w:rsidR="004A17CD">
        <w:t xml:space="preserve"> for </w:t>
      </w:r>
      <w:r w:rsidR="00C52B37">
        <w:t>mobility statu</w:t>
      </w:r>
      <w:r w:rsidR="00E1591B">
        <w:t>s</w:t>
      </w:r>
      <w:r w:rsidR="00C52B37">
        <w:t xml:space="preserve"> group</w:t>
      </w:r>
      <w:r w:rsidR="00E1591B">
        <w:t xml:space="preserve"> </w:t>
      </w:r>
      <w:r w:rsidRPr="00C25766" w:rsidR="00E1591B">
        <w:rPr>
          <w:rFonts w:asciiTheme="majorHAnsi" w:hAnsiTheme="majorHAnsi"/>
          <w:i/>
        </w:rPr>
        <w:t>k</w:t>
      </w:r>
      <w:r w:rsidR="00E1591B">
        <w:t xml:space="preserve">, where </w:t>
      </w:r>
      <w:r w:rsidRPr="00C25766" w:rsidR="00E1591B">
        <w:rPr>
          <w:rFonts w:asciiTheme="majorHAnsi" w:hAnsiTheme="majorHAnsi"/>
          <w:i/>
        </w:rPr>
        <w:t>k</w:t>
      </w:r>
      <w:r w:rsidR="00E1591B">
        <w:t xml:space="preserve"> </w:t>
      </w:r>
      <w:r w:rsidR="00C52B37">
        <w:t xml:space="preserve"> </w:t>
      </w:r>
      <w:r w:rsidR="00E1591B">
        <w:t xml:space="preserve">runs from </w:t>
      </w:r>
      <w:r w:rsidR="00C52B37">
        <w:t xml:space="preserve">A through E </w:t>
      </w:r>
      <w:r w:rsidR="00E1591B">
        <w:t xml:space="preserve">as </w:t>
      </w:r>
      <w:r w:rsidR="00C52B37">
        <w:t>defined above</w:t>
      </w:r>
      <w:r w:rsidR="00651150">
        <w:t>,</w:t>
      </w:r>
      <w:r w:rsidRPr="006742E6">
        <w:t xml:space="preserve"> </w:t>
      </w:r>
      <w:r w:rsidRPr="00C25766" w:rsidR="00C52B37">
        <w:rPr>
          <w:rFonts w:asciiTheme="majorHAnsi" w:hAnsiTheme="majorHAnsi"/>
          <w:i/>
        </w:rPr>
        <w:t>z</w:t>
      </w:r>
      <w:r w:rsidRPr="006742E6" w:rsidR="00C52B37">
        <w:t xml:space="preserve"> </w:t>
      </w:r>
      <w:r w:rsidRPr="006742E6">
        <w:t xml:space="preserve">is a vector of characteristics </w:t>
      </w:r>
      <w:r w:rsidRPr="006742E6" w:rsidR="00651150">
        <w:t xml:space="preserve">known to influence earnings </w:t>
      </w:r>
      <w:r w:rsidRPr="006742E6">
        <w:t>(</w:t>
      </w:r>
      <w:r w:rsidR="00651150">
        <w:t xml:space="preserve">with </w:t>
      </w:r>
      <w:r w:rsidRPr="006742E6">
        <w:t xml:space="preserve">common </w:t>
      </w:r>
      <w:r w:rsidR="00651150">
        <w:t xml:space="preserve">structure </w:t>
      </w:r>
      <w:r w:rsidRPr="006742E6">
        <w:t xml:space="preserve">across </w:t>
      </w:r>
      <w:r w:rsidR="00651150">
        <w:t>mobility status</w:t>
      </w:r>
      <w:r w:rsidRPr="006742E6" w:rsidR="00651150">
        <w:t xml:space="preserve"> </w:t>
      </w:r>
      <w:r w:rsidRPr="006742E6">
        <w:t>categories</w:t>
      </w:r>
      <w:r w:rsidR="00E35C8E">
        <w:t xml:space="preserve"> assumed</w:t>
      </w:r>
      <w:r w:rsidR="00651150">
        <w:t xml:space="preserve">, but with </w:t>
      </w:r>
      <w:r w:rsidR="00CA45B9">
        <w:t xml:space="preserve">the </w:t>
      </w:r>
      <w:r w:rsidR="00651150">
        <w:t xml:space="preserve">distribution varying </w:t>
      </w:r>
      <w:r w:rsidR="00CA45B9">
        <w:t>across</w:t>
      </w:r>
      <w:r w:rsidR="00651150">
        <w:t xml:space="preserve"> </w:t>
      </w:r>
      <w:r w:rsidRPr="00C25766" w:rsidR="00651150">
        <w:rPr>
          <w:rFonts w:asciiTheme="majorHAnsi" w:hAnsiTheme="majorHAnsi"/>
          <w:i/>
        </w:rPr>
        <w:t>k</w:t>
      </w:r>
      <w:r w:rsidRPr="006742E6">
        <w:t xml:space="preserve">), </w:t>
      </w:r>
      <m:oMath>
        <m:sSup>
          <m:sSupPr>
            <m:ctrlPr>
              <w:rPr>
                <w:rFonts w:ascii="Cambria Math" w:hAnsi="Cambria Math"/>
                <w:i/>
              </w:rPr>
            </m:ctrlPr>
          </m:sSupPr>
          <m:e>
            <m:r>
              <w:rPr>
                <w:rFonts w:ascii="Cambria Math" w:hAnsi="Cambria Math"/>
              </w:rPr>
              <m:t>β</m:t>
            </m:r>
          </m:e>
          <m:sup>
            <m:r>
              <w:rPr>
                <w:rFonts w:ascii="Cambria Math" w:hAnsi="Cambria Math"/>
              </w:rPr>
              <m:t>θ,k</m:t>
            </m:r>
          </m:sup>
        </m:sSup>
      </m:oMath>
      <w:r w:rsidRPr="006742E6">
        <w:t xml:space="preserve"> is an estimated conformable vector of coefficient returns to these characteristics</w:t>
      </w:r>
      <w:r w:rsidR="00CA45B9">
        <w:t xml:space="preserve"> varying with quantile </w:t>
      </w:r>
      <w:r w:rsidRPr="00C25766" w:rsidR="00CA45B9">
        <w:rPr>
          <w:rFonts w:asciiTheme="majorHAnsi" w:hAnsiTheme="majorHAnsi" w:cstheme="minorHAnsi"/>
          <w:i/>
        </w:rPr>
        <w:t>θ</w:t>
      </w:r>
      <w:r w:rsidR="00CA45B9">
        <w:rPr>
          <w:rFonts w:cstheme="minorHAnsi"/>
        </w:rPr>
        <w:t xml:space="preserve"> and across mobility status </w:t>
      </w:r>
      <w:r w:rsidRPr="00C25766" w:rsidR="00CA45B9">
        <w:rPr>
          <w:rFonts w:asciiTheme="majorHAnsi" w:hAnsiTheme="majorHAnsi" w:cstheme="minorHAnsi"/>
          <w:i/>
        </w:rPr>
        <w:t>k</w:t>
      </w:r>
      <w:r w:rsidR="00CA45B9">
        <w:t xml:space="preserve">. </w:t>
      </w:r>
      <w:r w:rsidR="00B2279C">
        <w:t xml:space="preserve">To simplify in places we refer to </w:t>
      </w:r>
      <w:r w:rsidRPr="006742E6">
        <w:t xml:space="preserve">the suffixes </w:t>
      </w:r>
      <w:r w:rsidRPr="00C0439E">
        <w:rPr>
          <w:rFonts w:asciiTheme="majorHAnsi" w:hAnsiTheme="majorHAnsi"/>
          <w:i/>
        </w:rPr>
        <w:t>N</w:t>
      </w:r>
      <w:r w:rsidRPr="006742E6">
        <w:t xml:space="preserve"> and </w:t>
      </w:r>
      <w:r w:rsidRPr="00336030">
        <w:rPr>
          <w:rFonts w:asciiTheme="majorHAnsi" w:hAnsiTheme="majorHAnsi"/>
          <w:i/>
        </w:rPr>
        <w:t>M</w:t>
      </w:r>
      <w:r w:rsidRPr="006742E6">
        <w:t xml:space="preserve"> </w:t>
      </w:r>
      <w:r w:rsidR="00B2279C">
        <w:t xml:space="preserve">to </w:t>
      </w:r>
      <w:r w:rsidRPr="006742E6">
        <w:t>denote non-</w:t>
      </w:r>
      <w:r w:rsidRPr="006742E6" w:rsidR="00D3724B">
        <w:t xml:space="preserve">movers and </w:t>
      </w:r>
      <w:r w:rsidR="00B2279C">
        <w:t xml:space="preserve">the </w:t>
      </w:r>
      <w:r w:rsidR="00520850">
        <w:t>aggregated</w:t>
      </w:r>
      <w:r w:rsidR="00B2279C">
        <w:t xml:space="preserve"> category of </w:t>
      </w:r>
      <w:r w:rsidR="00520850">
        <w:t xml:space="preserve">all </w:t>
      </w:r>
      <w:r w:rsidRPr="006742E6" w:rsidR="00D3724B">
        <w:t>movers</w:t>
      </w:r>
      <w:r w:rsidR="00AC6E8A">
        <w:t xml:space="preserve"> </w:t>
      </w:r>
      <w:r w:rsidR="00363F89">
        <w:t>respectively.</w:t>
      </w:r>
      <w:r w:rsidDel="00AC6E8A" w:rsidR="00AC6E8A">
        <w:t xml:space="preserve"> </w:t>
      </w:r>
      <w:r w:rsidR="00C33E94">
        <w:t xml:space="preserve">The quantile </w:t>
      </w:r>
      <w:r w:rsidRPr="006742E6" w:rsidR="00820142">
        <w:t xml:space="preserve">regression </w:t>
      </w:r>
      <w:r w:rsidR="00C33E94">
        <w:t>approach</w:t>
      </w:r>
      <w:r w:rsidRPr="006742E6" w:rsidR="00C33E94">
        <w:t xml:space="preserve"> </w:t>
      </w:r>
      <w:r w:rsidRPr="006742E6" w:rsidR="00820142">
        <w:t xml:space="preserve">allows earnings for movers and non-movers </w:t>
      </w:r>
      <w:r w:rsidR="00C33E94">
        <w:t xml:space="preserve">of each variety </w:t>
      </w:r>
      <w:r w:rsidRPr="006742E6" w:rsidR="00820142">
        <w:t>to be estimated along the entire length of the distribution</w:t>
      </w:r>
      <w:r w:rsidR="00E35C8E">
        <w:t xml:space="preserve">. </w:t>
      </w:r>
    </w:p>
    <w:p w:rsidR="00754AD6" w:rsidP="00B507E6" w:rsidRDefault="00754AD6">
      <w:pPr>
        <w:spacing w:after="0" w:line="360" w:lineRule="auto"/>
        <w:jc w:val="both"/>
      </w:pPr>
    </w:p>
    <w:p w:rsidR="00754AD6" w:rsidP="00754AD6" w:rsidRDefault="00754AD6">
      <w:pPr>
        <w:spacing w:after="0" w:line="360" w:lineRule="auto"/>
        <w:jc w:val="both"/>
      </w:pPr>
      <w:r>
        <w:t xml:space="preserve">Equation </w:t>
      </w:r>
      <w:r w:rsidR="001966B3">
        <w:t>[</w:t>
      </w:r>
      <w:r>
        <w:t>3</w:t>
      </w:r>
      <w:r w:rsidR="001966B3">
        <w:t>]</w:t>
      </w:r>
      <w:r>
        <w:t xml:space="preserve"> involves simulating the conditional wage distribution for each variety of mobility status A through E across quantiles and conditional on the vector </w:t>
      </w:r>
      <m:oMath>
        <m:sSup>
          <m:sSupPr>
            <m:ctrlPr>
              <w:rPr>
                <w:rFonts w:ascii="Cambria Math" w:hAnsi="Cambria Math"/>
                <w:i/>
              </w:rPr>
            </m:ctrlPr>
          </m:sSupPr>
          <m:e>
            <m:r>
              <w:rPr>
                <w:rFonts w:ascii="Cambria Math" w:hAnsi="Cambria Math"/>
              </w:rPr>
              <m:t>z</m:t>
            </m:r>
          </m:e>
          <m:sup>
            <m:r>
              <w:rPr>
                <w:rFonts w:ascii="Cambria Math" w:hAnsi="Cambria Math"/>
              </w:rPr>
              <m:t>k</m:t>
            </m:r>
          </m:sup>
        </m:sSup>
        <m:r>
          <w:rPr>
            <w:rFonts w:ascii="Cambria Math" w:hAnsi="Cambria Math"/>
          </w:rPr>
          <m:t>.</m:t>
        </m:r>
      </m:oMath>
      <w:r>
        <w:t xml:space="preserve">  The decomposition </w:t>
      </w:r>
      <w:r w:rsidRPr="006742E6">
        <w:t xml:space="preserve">suggested by </w:t>
      </w:r>
      <w:r w:rsidRPr="006742E6">
        <w:lastRenderedPageBreak/>
        <w:t>Machado and Mata (2005)</w:t>
      </w:r>
      <w:r>
        <w:t xml:space="preserve"> </w:t>
      </w:r>
      <w:r w:rsidR="00A5420C">
        <w:t xml:space="preserve">outlined below </w:t>
      </w:r>
      <w:r w:rsidRPr="00990021">
        <w:t xml:space="preserve">involves </w:t>
      </w:r>
      <w:r>
        <w:t xml:space="preserve">the quantiles of the marginal rather than conditional wage distribution. </w:t>
      </w:r>
      <w:r w:rsidR="00A5420C">
        <w:t>To illustrate</w:t>
      </w:r>
      <w:r w:rsidR="00EB022E">
        <w:t xml:space="preserve">, let us </w:t>
      </w:r>
      <w:r>
        <w:t xml:space="preserve">focus on the non-mover status group. In order to derive the marginal wage distribution we use estimates from equation </w:t>
      </w:r>
      <w:r w:rsidR="001966B3">
        <w:t>[</w:t>
      </w:r>
      <w:r>
        <w:t>3</w:t>
      </w:r>
      <w:r w:rsidR="001966B3">
        <w:t>]</w:t>
      </w:r>
      <w:r>
        <w:t xml:space="preserve"> defined over</w:t>
      </w:r>
      <w:r w:rsidRPr="00C73013">
        <w:t xml:space="preserve"> </w:t>
      </w:r>
      <w:r>
        <w:t>the s</w:t>
      </w:r>
      <w:r w:rsidR="00EB022E">
        <w:t xml:space="preserve">pecific group (A) and </w:t>
      </w:r>
      <w:r>
        <w:t xml:space="preserve">then randomly select a row vector from </w:t>
      </w:r>
      <w:r w:rsidRPr="00EB022E">
        <w:rPr>
          <w:i/>
        </w:rPr>
        <w:t>z</w:t>
      </w:r>
      <w:r>
        <w:t xml:space="preserve"> representing the characteristics of a given individual </w:t>
      </w:r>
      <w:r w:rsidRPr="00EB022E" w:rsidR="00A5420C">
        <w:rPr>
          <w:i/>
        </w:rPr>
        <w:t>j</w:t>
      </w:r>
      <w:r>
        <w:t xml:space="preserve"> among group A together with a randomly selected quantile </w:t>
      </w:r>
      <w:r w:rsidRPr="00EB022E">
        <w:rPr>
          <w:rFonts w:asciiTheme="majorHAnsi" w:hAnsiTheme="majorHAnsi" w:cstheme="minorHAnsi"/>
          <w:i/>
        </w:rPr>
        <w:t>θ</w:t>
      </w:r>
      <w:r>
        <w:t xml:space="preserve">. Multiplying the chosen </w:t>
      </w:r>
      <w:r w:rsidRPr="00EB022E">
        <w:rPr>
          <w:i/>
        </w:rPr>
        <w:t>z</w:t>
      </w:r>
      <w:r>
        <w:t xml:space="preserve"> vector by the particular estimated coefficient vector </w:t>
      </w:r>
      <m:oMath>
        <m:sSup>
          <m:sSupPr>
            <m:ctrlPr>
              <w:rPr>
                <w:rFonts w:ascii="Cambria Math" w:hAnsi="Cambria Math"/>
                <w:i/>
              </w:rPr>
            </m:ctrlPr>
          </m:sSupPr>
          <m:e>
            <m:r>
              <w:rPr>
                <w:rFonts w:ascii="Cambria Math" w:hAnsi="Cambria Math"/>
              </w:rPr>
              <m:t>β</m:t>
            </m:r>
          </m:e>
          <m:sup>
            <m:r>
              <w:rPr>
                <w:rFonts w:ascii="Cambria Math" w:hAnsi="Cambria Math"/>
              </w:rPr>
              <m:t>θ,k</m:t>
            </m:r>
          </m:sup>
        </m:sSup>
      </m:oMath>
      <w:r>
        <w:t xml:space="preserve"> where </w:t>
      </w:r>
      <w:r w:rsidRPr="00EB022E">
        <w:rPr>
          <w:rFonts w:asciiTheme="majorHAnsi" w:hAnsiTheme="majorHAnsi" w:cstheme="minorHAnsi"/>
          <w:i/>
        </w:rPr>
        <w:t>θ</w:t>
      </w:r>
      <w:r>
        <w:t xml:space="preserve"> </w:t>
      </w:r>
      <w:r w:rsidR="00A5420C">
        <w:t>is</w:t>
      </w:r>
      <w:r>
        <w:t xml:space="preserve"> a random draw and </w:t>
      </w:r>
      <w:r w:rsidRPr="00EB022E">
        <w:rPr>
          <w:i/>
        </w:rPr>
        <w:t>k</w:t>
      </w:r>
      <w:r>
        <w:t xml:space="preserve"> refers to status group A, gives a single predicted marginal wage for a non-mover. This process is then repeated to generate an estimate of the entire marginal wage distribution, </w:t>
      </w:r>
      <w:r w:rsidR="00EB022E">
        <w:t>which</w:t>
      </w:r>
      <w:r>
        <w:t xml:space="preserve"> is equivalent to integrating out the conditional wage distribution over </w:t>
      </w:r>
      <w:r w:rsidRPr="00EB022E">
        <w:rPr>
          <w:i/>
        </w:rPr>
        <w:t>z</w:t>
      </w:r>
      <w:r>
        <w:t xml:space="preserve"> and </w:t>
      </w:r>
      <w:r w:rsidRPr="00EB022E">
        <w:rPr>
          <w:rFonts w:asciiTheme="majorHAnsi" w:hAnsiTheme="majorHAnsi" w:cstheme="minorHAnsi"/>
          <w:i/>
        </w:rPr>
        <w:t>θ</w:t>
      </w:r>
      <w:r>
        <w:t xml:space="preserve">. </w:t>
      </w:r>
    </w:p>
    <w:p w:rsidR="00754AD6" w:rsidP="00754AD6" w:rsidRDefault="00754AD6">
      <w:pPr>
        <w:spacing w:after="0" w:line="360" w:lineRule="auto"/>
        <w:jc w:val="both"/>
      </w:pPr>
    </w:p>
    <w:p w:rsidR="00754AD6" w:rsidP="001966B3" w:rsidRDefault="00754AD6">
      <w:pPr>
        <w:tabs>
          <w:tab w:val="right" w:pos="9026"/>
        </w:tabs>
        <w:spacing w:after="0" w:line="360" w:lineRule="auto"/>
        <w:ind w:left="1276"/>
        <w:jc w:val="both"/>
      </w:pPr>
      <m:oMath>
        <m:r>
          <w:rPr>
            <w:rFonts w:ascii="Cambria Math" w:hAnsi="Cambria Math"/>
          </w:rPr>
          <m:t>f</m:t>
        </m:r>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N</m:t>
                </m:r>
              </m:sup>
            </m:sSup>
          </m:e>
        </m:d>
        <m:r>
          <w:rPr>
            <w:rFonts w:ascii="Cambria Math" w:hAnsi="Cambria Math"/>
          </w:rPr>
          <m:t>=</m:t>
        </m:r>
        <m:nary>
          <m:naryPr>
            <m:chr m:val="∬"/>
            <m:limLoc m:val="subSup"/>
            <m:ctrlPr>
              <w:rPr>
                <w:rFonts w:ascii="Cambria Math" w:hAnsi="Cambria Math"/>
                <w:i/>
              </w:rPr>
            </m:ctrlPr>
          </m:naryPr>
          <m:sub>
            <m:r>
              <w:rPr>
                <w:rFonts w:ascii="Cambria Math" w:hAnsi="Cambria Math"/>
              </w:rPr>
              <m:t>z,θ</m:t>
            </m:r>
          </m:sub>
          <m:sup/>
          <m:e>
            <m:sSup>
              <m:sSupPr>
                <m:ctrlPr>
                  <w:rPr>
                    <w:rFonts w:ascii="Cambria Math" w:hAnsi="Cambria Math"/>
                    <w:i/>
                  </w:rPr>
                </m:ctrlPr>
              </m:sSupPr>
              <m:e>
                <m:r>
                  <w:rPr>
                    <w:rFonts w:ascii="Cambria Math" w:hAnsi="Cambria Math"/>
                  </w:rPr>
                  <m:t>Q</m:t>
                </m:r>
              </m:e>
              <m:sup>
                <m:r>
                  <w:rPr>
                    <w:rFonts w:ascii="Cambria Math" w:hAnsi="Cambria Math"/>
                  </w:rPr>
                  <m:t>θ</m:t>
                </m:r>
              </m:sup>
            </m:sSup>
            <m:r>
              <w:rPr>
                <w:rFonts w:ascii="Cambria Math" w:hAnsi="Cambria Math"/>
              </w:rPr>
              <m:t>(</m:t>
            </m:r>
          </m:e>
        </m:nary>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N</m:t>
            </m:r>
          </m:sup>
        </m:sSup>
        <m:d>
          <m:dPr>
            <m:beg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kN</m:t>
                </m:r>
              </m:sup>
            </m:sSup>
          </m:e>
        </m:d>
        <m:r>
          <w:rPr>
            <w:rFonts w:ascii="Cambria Math" w:hAnsi="Cambria Math"/>
          </w:rPr>
          <m:t>dzdθ</m:t>
        </m:r>
      </m:oMath>
      <w:r w:rsidR="006B1DD7">
        <w:t xml:space="preserve">      </w:t>
      </w:r>
      <w:r w:rsidR="001966B3">
        <w:tab/>
      </w:r>
      <w:r w:rsidR="006B1DD7">
        <w:t xml:space="preserve"> [4]</w:t>
      </w:r>
    </w:p>
    <w:p w:rsidR="001966B3" w:rsidP="00754AD6" w:rsidRDefault="001966B3">
      <w:pPr>
        <w:spacing w:after="0" w:line="360" w:lineRule="auto"/>
        <w:jc w:val="both"/>
      </w:pPr>
    </w:p>
    <w:p w:rsidR="00754AD6" w:rsidP="00B507E6" w:rsidRDefault="00754AD6">
      <w:pPr>
        <w:spacing w:after="0" w:line="360" w:lineRule="auto"/>
        <w:jc w:val="both"/>
      </w:pPr>
      <w:r>
        <w:t xml:space="preserve">This marginal wage distribution for non-movers can then be divided into quantiles and labelled   </w:t>
      </w:r>
      <m:oMath>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N</m:t>
                </m:r>
              </m:sup>
            </m:sSup>
          </m:e>
        </m:d>
      </m:oMath>
      <w:r>
        <w:t xml:space="preserve"> as in the decomposition below. </w:t>
      </w:r>
      <w:r w:rsidRPr="00990021">
        <w:t xml:space="preserve"> </w:t>
      </w:r>
      <w:r w:rsidR="006B1DD7">
        <w:t xml:space="preserve">This represents the first term on the right handside of the </w:t>
      </w:r>
      <w:r w:rsidRPr="006742E6" w:rsidR="006B1DD7">
        <w:t>Machado and Mata (2005)</w:t>
      </w:r>
      <w:r w:rsidR="006B1DD7">
        <w:t xml:space="preserve"> decomposition</w:t>
      </w:r>
      <w:r w:rsidR="00203D65">
        <w:t>:</w:t>
      </w:r>
    </w:p>
    <w:p w:rsidR="00B60724" w:rsidP="00B507E6" w:rsidRDefault="00B60724">
      <w:pPr>
        <w:spacing w:after="0" w:line="360" w:lineRule="auto"/>
        <w:jc w:val="both"/>
      </w:pPr>
    </w:p>
    <w:p w:rsidR="00B60724" w:rsidP="00B60724" w:rsidRDefault="00D2692E">
      <w:pPr>
        <w:tabs>
          <w:tab w:val="right" w:pos="9026"/>
        </w:tabs>
        <w:spacing w:after="0" w:line="360" w:lineRule="auto"/>
        <w:ind w:firstLine="709"/>
        <w:jc w:val="both"/>
      </w:pPr>
      <m:oMath>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N</m:t>
                </m:r>
              </m:sup>
            </m:sSup>
          </m:e>
        </m:d>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m:t>
                </m:r>
              </m:sup>
            </m:sSup>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N</m:t>
                    </m:r>
                  </m:sup>
                </m:sSup>
              </m:e>
            </m:d>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m:t>
                    </m:r>
                  </m:sup>
                </m:sSup>
              </m:e>
            </m:d>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m:t>
                    </m:r>
                  </m:sup>
                </m:sSup>
              </m:e>
            </m:d>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M</m:t>
                    </m:r>
                  </m:sup>
                </m:sSup>
              </m:e>
            </m:d>
          </m:e>
        </m:d>
        <m:r>
          <w:rPr>
            <w:rFonts w:ascii="Cambria Math" w:hAnsi="Cambria Math"/>
          </w:rPr>
          <m:t>+residual</m:t>
        </m:r>
      </m:oMath>
      <w:r w:rsidR="00B60724">
        <w:t xml:space="preserve"> </w:t>
      </w:r>
      <w:r w:rsidR="00B60724">
        <w:tab/>
        <w:t>[</w:t>
      </w:r>
      <w:r w:rsidR="00203D65">
        <w:t>5</w:t>
      </w:r>
      <w:r w:rsidR="00B60724">
        <w:t>]</w:t>
      </w:r>
    </w:p>
    <w:p w:rsidR="00B60724" w:rsidP="00B507E6" w:rsidRDefault="00B60724">
      <w:pPr>
        <w:spacing w:after="0" w:line="360" w:lineRule="auto"/>
        <w:jc w:val="both"/>
      </w:pPr>
    </w:p>
    <w:p w:rsidR="0095160E" w:rsidP="009366C2" w:rsidRDefault="00B60724">
      <w:pPr>
        <w:spacing w:after="0" w:line="360" w:lineRule="auto"/>
        <w:jc w:val="both"/>
      </w:pPr>
      <w:r>
        <w:t xml:space="preserve">where </w:t>
      </w:r>
      <m:oMath>
        <m:sSup>
          <m:sSupPr>
            <m:ctrlPr>
              <w:rPr>
                <w:rFonts w:ascii="Cambria Math" w:hAnsi="Cambria Math"/>
                <w:i/>
              </w:rPr>
            </m:ctrlPr>
          </m:sSupPr>
          <m:e>
            <m:r>
              <w:rPr>
                <w:rFonts w:ascii="Cambria Math" w:hAnsi="Cambria Math"/>
              </w:rPr>
              <m:t>Q</m:t>
            </m:r>
          </m:e>
          <m:sup>
            <m:r>
              <w:rPr>
                <w:rFonts w:ascii="Cambria Math" w:hAnsi="Cambria Math"/>
              </w:rPr>
              <m:t>θ</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N</m:t>
            </m:r>
          </m:sup>
        </m:sSup>
        <m:r>
          <w:rPr>
            <w:rFonts w:ascii="Cambria Math" w:hAnsi="Cambria Math"/>
          </w:rPr>
          <m:t>)</m:t>
        </m:r>
      </m:oMath>
      <w:r>
        <w:t xml:space="preserve"> and </w:t>
      </w:r>
      <m:oMath>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m:t>
                </m:r>
              </m:sup>
            </m:sSup>
          </m:e>
        </m:d>
      </m:oMath>
      <w:r>
        <w:t xml:space="preserve"> are observed earnings at quantile </w:t>
      </w:r>
      <w:r w:rsidRPr="001225A9">
        <w:rPr>
          <w:rFonts w:asciiTheme="majorHAnsi" w:hAnsiTheme="majorHAnsi" w:cstheme="minorHAnsi"/>
          <w:i/>
        </w:rPr>
        <w:t>θ</w:t>
      </w:r>
      <w:r w:rsidRPr="00C25766">
        <w:rPr>
          <w:rFonts w:cstheme="minorHAnsi"/>
        </w:rPr>
        <w:t xml:space="preserve"> for non-movers and </w:t>
      </w:r>
      <w:r>
        <w:rPr>
          <w:rFonts w:cstheme="minorHAnsi"/>
        </w:rPr>
        <w:t xml:space="preserve">movers respectively and </w:t>
      </w:r>
      <m:oMath>
        <m:sSup>
          <m:sSupPr>
            <m:ctrlPr>
              <w:rPr>
                <w:rFonts w:ascii="Cambria Math" w:hAnsi="Cambria Math" w:cstheme="minorHAnsi"/>
                <w:i/>
              </w:rPr>
            </m:ctrlPr>
          </m:sSupPr>
          <m:e>
            <m:r>
              <w:rPr>
                <w:rFonts w:ascii="Cambria Math" w:hAnsi="Cambria Math" w:cstheme="minorHAnsi"/>
              </w:rPr>
              <m:t>Q</m:t>
            </m:r>
          </m:e>
          <m:sup>
            <m:r>
              <w:rPr>
                <w:rFonts w:ascii="Cambria Math" w:hAnsi="Cambria Math" w:cstheme="minorHAnsi"/>
              </w:rPr>
              <m:t>θ</m:t>
            </m:r>
          </m:sup>
        </m:sSup>
        <m:r>
          <w:rPr>
            <w:rFonts w:ascii="Cambria Math" w:hAnsi="Cambria Math" w:cstheme="minorHAnsi"/>
          </w:rPr>
          <m:t>(</m:t>
        </m:r>
        <m:sSup>
          <m:sSupPr>
            <m:ctrlPr>
              <w:rPr>
                <w:rFonts w:ascii="Cambria Math" w:hAnsi="Cambria Math" w:cstheme="minorHAnsi"/>
                <w:i/>
              </w:rPr>
            </m:ctrlPr>
          </m:sSupPr>
          <m:e>
            <m:acc>
              <m:accPr>
                <m:chr m:val="̃"/>
                <m:ctrlPr>
                  <w:rPr>
                    <w:rFonts w:ascii="Cambria Math" w:hAnsi="Cambria Math" w:cstheme="minorHAnsi"/>
                    <w:i/>
                  </w:rPr>
                </m:ctrlPr>
              </m:accPr>
              <m:e>
                <m:r>
                  <w:rPr>
                    <w:rFonts w:ascii="Cambria Math" w:hAnsi="Cambria Math" w:cstheme="minorHAnsi"/>
                  </w:rPr>
                  <m:t>y</m:t>
                </m:r>
              </m:e>
            </m:acc>
          </m:e>
          <m:sup>
            <m:r>
              <w:rPr>
                <w:rFonts w:ascii="Cambria Math" w:hAnsi="Cambria Math" w:cstheme="minorHAnsi"/>
              </w:rPr>
              <m:t>N</m:t>
            </m:r>
          </m:sup>
        </m:sSup>
        <m:r>
          <w:rPr>
            <w:rFonts w:ascii="Cambria Math" w:hAnsi="Cambria Math" w:cstheme="minorHAnsi"/>
          </w:rPr>
          <m:t>)</m:t>
        </m:r>
      </m:oMath>
      <w:r>
        <w:rPr>
          <w:rFonts w:cstheme="minorHAnsi"/>
        </w:rPr>
        <w:t xml:space="preserve"> and </w:t>
      </w:r>
      <m:oMath>
        <m:sSup>
          <m:sSupPr>
            <m:ctrlPr>
              <w:rPr>
                <w:rFonts w:ascii="Cambria Math" w:hAnsi="Cambria Math" w:cstheme="minorHAnsi"/>
                <w:i/>
              </w:rPr>
            </m:ctrlPr>
          </m:sSupPr>
          <m:e>
            <m:r>
              <w:rPr>
                <w:rFonts w:ascii="Cambria Math" w:hAnsi="Cambria Math" w:cstheme="minorHAnsi"/>
              </w:rPr>
              <m:t>Q</m:t>
            </m:r>
          </m:e>
          <m:sup>
            <m:r>
              <w:rPr>
                <w:rFonts w:ascii="Cambria Math" w:hAnsi="Cambria Math" w:cstheme="minorHAnsi"/>
              </w:rPr>
              <m:t>θ</m:t>
            </m:r>
          </m:sup>
        </m:sSup>
        <m:r>
          <w:rPr>
            <w:rFonts w:ascii="Cambria Math" w:hAnsi="Cambria Math" w:cstheme="minorHAnsi"/>
          </w:rPr>
          <m:t>(</m:t>
        </m:r>
        <m:sSup>
          <m:sSupPr>
            <m:ctrlPr>
              <w:rPr>
                <w:rFonts w:ascii="Cambria Math" w:hAnsi="Cambria Math" w:cstheme="minorHAnsi"/>
                <w:i/>
              </w:rPr>
            </m:ctrlPr>
          </m:sSupPr>
          <m:e>
            <m:acc>
              <m:accPr>
                <m:chr m:val="̃"/>
                <m:ctrlPr>
                  <w:rPr>
                    <w:rFonts w:ascii="Cambria Math" w:hAnsi="Cambria Math" w:cstheme="minorHAnsi"/>
                    <w:i/>
                  </w:rPr>
                </m:ctrlPr>
              </m:accPr>
              <m:e>
                <m:r>
                  <w:rPr>
                    <w:rFonts w:ascii="Cambria Math" w:hAnsi="Cambria Math" w:cstheme="minorHAnsi"/>
                  </w:rPr>
                  <m:t>y</m:t>
                </m:r>
              </m:e>
            </m:acc>
          </m:e>
          <m:sup>
            <m:r>
              <w:rPr>
                <w:rFonts w:ascii="Cambria Math" w:hAnsi="Cambria Math" w:cstheme="minorHAnsi"/>
              </w:rPr>
              <m:t>M</m:t>
            </m:r>
          </m:sup>
        </m:sSup>
        <m:r>
          <w:rPr>
            <w:rFonts w:ascii="Cambria Math" w:hAnsi="Cambria Math" w:cstheme="minorHAnsi"/>
          </w:rPr>
          <m:t>)</m:t>
        </m:r>
      </m:oMath>
      <w:r w:rsidR="00470AF5">
        <w:rPr>
          <w:rFonts w:cstheme="minorHAnsi"/>
        </w:rPr>
        <w:t xml:space="preserve"> are linear predictions </w:t>
      </w:r>
      <w:r>
        <w:rPr>
          <w:rFonts w:cstheme="minorHAnsi"/>
        </w:rPr>
        <w:t xml:space="preserve">at </w:t>
      </w:r>
      <w:r w:rsidR="006B1DD7">
        <w:rPr>
          <w:rFonts w:cstheme="minorHAnsi"/>
        </w:rPr>
        <w:t xml:space="preserve">each </w:t>
      </w:r>
      <w:r w:rsidRPr="001225A9">
        <w:rPr>
          <w:rFonts w:asciiTheme="majorHAnsi" w:hAnsiTheme="majorHAnsi" w:cstheme="minorHAnsi"/>
          <w:i/>
        </w:rPr>
        <w:t>θ</w:t>
      </w:r>
      <w:r w:rsidR="003D3E16">
        <w:rPr>
          <w:rFonts w:cstheme="minorHAnsi"/>
        </w:rPr>
        <w:t xml:space="preserve"> estimated from equation [3]</w:t>
      </w:r>
      <w:r w:rsidR="00470AF5">
        <w:rPr>
          <w:rFonts w:cstheme="minorHAnsi"/>
        </w:rPr>
        <w:t>.</w:t>
      </w:r>
      <w:r w:rsidR="006B2167">
        <w:rPr>
          <w:rFonts w:cstheme="minorHAnsi"/>
        </w:rPr>
        <w:t xml:space="preserve"> F</w:t>
      </w:r>
      <w:r w:rsidR="006B2167">
        <w:t xml:space="preserve">inally, the counterfactual term </w:t>
      </w:r>
      <m:oMath>
        <m:sSup>
          <m:sSupPr>
            <m:ctrlPr>
              <w:rPr>
                <w:rFonts w:ascii="Cambria Math" w:hAnsi="Cambria Math"/>
                <w:i/>
              </w:rPr>
            </m:ctrlPr>
          </m:sSupPr>
          <m:e>
            <m:r>
              <w:rPr>
                <w:rFonts w:ascii="Cambria Math" w:hAnsi="Cambria Math"/>
              </w:rPr>
              <m:t>Q</m:t>
            </m:r>
          </m:e>
          <m:sup>
            <m:r>
              <w:rPr>
                <w:rFonts w:ascii="Cambria Math" w:hAnsi="Cambria Math"/>
              </w:rPr>
              <m:t>θ</m:t>
            </m:r>
          </m:sup>
        </m:sSup>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y</m:t>
                    </m:r>
                  </m:e>
                </m:acc>
              </m:e>
              <m:sup>
                <m:r>
                  <w:rPr>
                    <w:rFonts w:ascii="Cambria Math" w:hAnsi="Cambria Math"/>
                  </w:rPr>
                  <m:t>*</m:t>
                </m:r>
              </m:sup>
            </m:sSup>
          </m:e>
        </m:d>
      </m:oMath>
      <w:r w:rsidR="006B2167">
        <w:t xml:space="preserve"> </w:t>
      </w:r>
      <w:r w:rsidRPr="00990021" w:rsidR="006B2167">
        <w:t xml:space="preserve">is based on the distribution of earnings that would exist if the characteristics of non-movers were rewarded in the same way as those of </w:t>
      </w:r>
      <w:r w:rsidR="006B2167">
        <w:t xml:space="preserve">a given variety of movers. </w:t>
      </w:r>
      <w:r w:rsidR="006B1DD7">
        <w:t xml:space="preserve">In essence we follow exactly the same steps as above, but combine rows of the </w:t>
      </w:r>
      <w:r w:rsidRPr="00EB022E" w:rsidR="006B1DD7">
        <w:rPr>
          <w:i/>
        </w:rPr>
        <w:t>z</w:t>
      </w:r>
      <w:r w:rsidR="006B1DD7">
        <w:t xml:space="preserve"> matrix for non-movers with quantile regression coeficients for a given variety of mover. </w:t>
      </w:r>
    </w:p>
    <w:p w:rsidR="0095160E" w:rsidRDefault="00A82D59">
      <w:pPr>
        <w:spacing w:after="0" w:line="360" w:lineRule="auto"/>
        <w:jc w:val="both"/>
      </w:pPr>
      <w:r>
        <w:rPr>
          <w:noProof/>
        </w:rPr>
        <mc:AlternateContent>
          <mc:Choice Requires="wps">
            <w:drawing>
              <wp:anchor distT="0" distB="0" distL="114300" distR="114300" simplePos="0" relativeHeight="251665408" behindDoc="0" locked="0" layoutInCell="1" allowOverlap="1" wp14:editId="6B968A48" wp14:anchorId="786591C7">
                <wp:simplePos x="0" y="0"/>
                <wp:positionH relativeFrom="column">
                  <wp:posOffset>5479415</wp:posOffset>
                </wp:positionH>
                <wp:positionV relativeFrom="paragraph">
                  <wp:posOffset>-331</wp:posOffset>
                </wp:positionV>
                <wp:extent cx="429260"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301625"/>
                        </a:xfrm>
                        <a:prstGeom prst="rect">
                          <a:avLst/>
                        </a:prstGeom>
                        <a:noFill/>
                        <a:ln w="9525">
                          <a:noFill/>
                          <a:miter lim="800000"/>
                          <a:headEnd/>
                          <a:tailEnd/>
                        </a:ln>
                      </wps:spPr>
                      <wps:txbx>
                        <w:txbxContent>
                          <w:p w:rsidR="00EB022E" w:rsidRDefault="00EB0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6591C7">
                <v:stroke joinstyle="miter"/>
                <v:path gradientshapeok="t" o:connecttype="rect"/>
              </v:shapetype>
              <v:shape id="Text Box 2" style="position:absolute;left:0;text-align:left;margin-left:431.45pt;margin-top:-.05pt;width:33.8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">
                <v:textbox>
                  <w:txbxContent>
                    <w:p w:rsidR="00EB022E" w:rsidRDefault="00EB022E"/>
                  </w:txbxContent>
                </v:textbox>
              </v:shape>
            </w:pict>
          </mc:Fallback>
        </mc:AlternateContent>
      </w:r>
      <w:r w:rsidR="00CC5C44">
        <w:tab/>
      </w:r>
    </w:p>
    <w:p w:rsidRPr="00DE6EBC" w:rsidR="00E648C1" w:rsidP="00FC2291" w:rsidRDefault="0095160E">
      <w:pPr>
        <w:spacing w:after="0" w:line="360" w:lineRule="auto"/>
        <w:jc w:val="both"/>
        <w:rPr>
          <w:color w:val="FF0000"/>
        </w:rPr>
      </w:pPr>
      <w:r>
        <w:t xml:space="preserve">At any comparison point </w:t>
      </w:r>
      <w:r w:rsidRPr="009214C8">
        <w:rPr>
          <w:rFonts w:asciiTheme="majorHAnsi" w:hAnsiTheme="majorHAnsi"/>
          <w:i/>
        </w:rPr>
        <w:t>θ</w:t>
      </w:r>
      <w:r>
        <w:t xml:space="preserve"> the difference in earnings between non-movers and movers may </w:t>
      </w:r>
      <w:r w:rsidR="00E06AF4">
        <w:t xml:space="preserve">then </w:t>
      </w:r>
      <w:r>
        <w:t xml:space="preserve">be </w:t>
      </w:r>
      <w:r w:rsidR="00E648C1">
        <w:t>decomposed into the components represented by equation [</w:t>
      </w:r>
      <w:r w:rsidR="009A100A">
        <w:t>5</w:t>
      </w:r>
      <w:r w:rsidR="00E648C1">
        <w:t xml:space="preserve">]. The first </w:t>
      </w:r>
      <w:r w:rsidR="00A851B7">
        <w:t xml:space="preserve">bracketed </w:t>
      </w:r>
      <w:r w:rsidR="00E648C1">
        <w:t xml:space="preserve">term on the right hand side (a ‘coefficient effect’) </w:t>
      </w:r>
      <w:r w:rsidR="00825B38">
        <w:t xml:space="preserve">measures </w:t>
      </w:r>
      <w:r w:rsidR="00E648C1">
        <w:t xml:space="preserve">the extent to which the earnings-determining characteristics contained within vector </w:t>
      </w:r>
      <w:r w:rsidR="00F54C43">
        <w:rPr>
          <w:rFonts w:asciiTheme="majorHAnsi" w:hAnsiTheme="majorHAnsi"/>
          <w:i/>
        </w:rPr>
        <w:t>z</w:t>
      </w:r>
      <w:r w:rsidR="00F54C43">
        <w:t xml:space="preserve"> </w:t>
      </w:r>
      <w:r w:rsidR="00E648C1">
        <w:t xml:space="preserve">are rewarded differentially between non-movers and </w:t>
      </w:r>
      <w:r w:rsidR="00F54C43">
        <w:t xml:space="preserve">a given status of </w:t>
      </w:r>
      <w:r w:rsidR="00E648C1">
        <w:t>movers. The second term</w:t>
      </w:r>
      <w:r w:rsidR="00013B3D">
        <w:t xml:space="preserve">, a ‘composition effect’, </w:t>
      </w:r>
      <w:r w:rsidR="00E648C1">
        <w:t xml:space="preserve">is the contribution of the covariates included in the earnings </w:t>
      </w:r>
      <w:r w:rsidR="009A100A">
        <w:t>specification</w:t>
      </w:r>
      <w:r w:rsidR="00E648C1">
        <w:t xml:space="preserve">, i.e. the extent to which vector </w:t>
      </w:r>
      <w:r w:rsidR="00F54C43">
        <w:rPr>
          <w:rFonts w:asciiTheme="majorHAnsi" w:hAnsiTheme="majorHAnsi"/>
          <w:i/>
        </w:rPr>
        <w:t>z</w:t>
      </w:r>
      <w:r w:rsidRPr="00CE73E6" w:rsidR="00F54C43">
        <w:t xml:space="preserve"> </w:t>
      </w:r>
      <w:r w:rsidRPr="00CE73E6" w:rsidR="00E648C1">
        <w:t>differ</w:t>
      </w:r>
      <w:r w:rsidR="00E648C1">
        <w:t>s</w:t>
      </w:r>
      <w:r w:rsidRPr="00CE73E6" w:rsidR="00E648C1">
        <w:t xml:space="preserve"> between non-movers and movers.</w:t>
      </w:r>
      <w:r w:rsidR="009614A4">
        <w:rPr>
          <w:rStyle w:val="EndnoteReference"/>
        </w:rPr>
        <w:endnoteReference w:id="9"/>
      </w:r>
      <w:r w:rsidR="00731255">
        <w:t xml:space="preserve"> </w:t>
      </w:r>
      <w:r w:rsidR="00893068">
        <w:t xml:space="preserve">In the decomposition set up by Machado and Mata there will also be  a residual component related to simulation and sampling errors which would </w:t>
      </w:r>
      <w:r w:rsidR="002E664F">
        <w:t>disappear asymptotically</w:t>
      </w:r>
      <w:r w:rsidR="00F80EF3">
        <w:t xml:space="preserve"> (</w:t>
      </w:r>
      <w:r w:rsidR="009A100A">
        <w:t>see</w:t>
      </w:r>
      <w:r w:rsidR="00F80EF3">
        <w:t xml:space="preserve"> Melly, </w:t>
      </w:r>
      <w:r w:rsidR="002E664F">
        <w:t>2007).</w:t>
      </w:r>
      <w:r w:rsidR="00F4712C">
        <w:rPr>
          <w:rStyle w:val="EndnoteReference"/>
        </w:rPr>
        <w:endnoteReference w:id="10"/>
      </w:r>
    </w:p>
    <w:p w:rsidR="00F66B8D" w:rsidP="001734E9" w:rsidRDefault="002845F8">
      <w:pPr>
        <w:spacing w:after="0" w:line="360" w:lineRule="auto"/>
        <w:jc w:val="both"/>
        <w:outlineLvl w:val="0"/>
        <w:rPr>
          <w:b/>
        </w:rPr>
      </w:pPr>
      <w:r>
        <w:rPr>
          <w:b/>
        </w:rPr>
        <w:lastRenderedPageBreak/>
        <w:t>6.</w:t>
      </w:r>
      <w:r>
        <w:rPr>
          <w:b/>
        </w:rPr>
        <w:tab/>
      </w:r>
      <w:r w:rsidR="00E648C1">
        <w:rPr>
          <w:b/>
        </w:rPr>
        <w:t>Results</w:t>
      </w:r>
    </w:p>
    <w:p w:rsidRPr="002845F8" w:rsidR="00F66B8D" w:rsidP="001734E9" w:rsidRDefault="002845F8">
      <w:pPr>
        <w:spacing w:after="0" w:line="360" w:lineRule="auto"/>
        <w:jc w:val="both"/>
        <w:outlineLvl w:val="0"/>
      </w:pPr>
      <w:r w:rsidRPr="002845F8">
        <w:t>6.1</w:t>
      </w:r>
      <w:r w:rsidRPr="002845F8">
        <w:tab/>
      </w:r>
      <w:r w:rsidRPr="002845F8" w:rsidR="00F66B8D">
        <w:t>Descriptive statistics</w:t>
      </w:r>
    </w:p>
    <w:p w:rsidR="00D2765E" w:rsidP="00FC2291" w:rsidRDefault="00E648C1">
      <w:pPr>
        <w:spacing w:after="0" w:line="360" w:lineRule="auto"/>
        <w:jc w:val="both"/>
      </w:pPr>
      <w:r>
        <w:t xml:space="preserve">Table 1 provides an overview of the distribution of graduates across the standard government office regions of the UK. </w:t>
      </w:r>
      <w:r w:rsidR="00CE79E7">
        <w:t xml:space="preserve">While </w:t>
      </w:r>
      <w:r w:rsidR="00A62424">
        <w:t xml:space="preserve">our </w:t>
      </w:r>
      <w:r w:rsidR="00CE79E7">
        <w:t>focus is not based upon a regional analysis, such figures provide an interesting backdrop</w:t>
      </w:r>
      <w:r w:rsidR="000C603F">
        <w:t>.</w:t>
      </w:r>
      <w:r w:rsidR="00CE79E7">
        <w:t xml:space="preserve"> </w:t>
      </w:r>
      <w:r>
        <w:t xml:space="preserve">Consistent with population density patterns, </w:t>
      </w:r>
      <w:r w:rsidR="00F8320F">
        <w:t xml:space="preserve">column 1 demonstrates </w:t>
      </w:r>
      <w:r>
        <w:t xml:space="preserve">a clustering of </w:t>
      </w:r>
      <w:r w:rsidR="00825B38">
        <w:t xml:space="preserve">prospective </w:t>
      </w:r>
      <w:r>
        <w:t>students domiciled in London (13.3%) and the South East (14.4%) prior to attending university and much lower proportions originating from the North East (</w:t>
      </w:r>
      <w:r w:rsidR="001558B3">
        <w:t>3.8%) and Northern Ireland (4.0</w:t>
      </w:r>
      <w:r>
        <w:t xml:space="preserve">%). The pattern of students attending university </w:t>
      </w:r>
      <w:r w:rsidR="00F8320F">
        <w:t xml:space="preserve">(column 2) </w:t>
      </w:r>
      <w:r>
        <w:t xml:space="preserve">is not in general </w:t>
      </w:r>
      <w:r w:rsidR="007C01BA">
        <w:t xml:space="preserve">that </w:t>
      </w:r>
      <w:r>
        <w:t>dissimilar to the breakdown based on region of domicile, although it is apparent that Yorkshire and Humberside is a net importer of students while the South East is a net exporter. In terms of graduate employment</w:t>
      </w:r>
      <w:r w:rsidR="00F8320F">
        <w:t xml:space="preserve"> (column 3)</w:t>
      </w:r>
      <w:r>
        <w:t xml:space="preserve">, the most striking pattern is the dominance of London in the graduate </w:t>
      </w:r>
      <w:r w:rsidR="009475C6">
        <w:t>labo</w:t>
      </w:r>
      <w:r w:rsidR="00157521">
        <w:t>u</w:t>
      </w:r>
      <w:r w:rsidR="009475C6">
        <w:t>r</w:t>
      </w:r>
      <w:r>
        <w:t xml:space="preserve"> market. Of all graduates in employment, 17.7% are to be found in this region, the largest of any individual area and a third greater than its </w:t>
      </w:r>
      <w:r w:rsidR="007C01BA">
        <w:t xml:space="preserve">initial </w:t>
      </w:r>
      <w:r>
        <w:t xml:space="preserve">share </w:t>
      </w:r>
      <w:r w:rsidR="007C01BA">
        <w:t xml:space="preserve">by </w:t>
      </w:r>
      <w:r w:rsidR="00D2765E">
        <w:t>domicile.</w:t>
      </w:r>
    </w:p>
    <w:p w:rsidR="00D2765E" w:rsidP="00FC2291" w:rsidRDefault="00D2765E">
      <w:pPr>
        <w:spacing w:after="0" w:line="360" w:lineRule="auto"/>
        <w:jc w:val="both"/>
      </w:pPr>
    </w:p>
    <w:p w:rsidR="00D04362" w:rsidP="005900C7" w:rsidRDefault="00D04362">
      <w:pPr>
        <w:spacing w:after="0" w:line="240" w:lineRule="auto"/>
        <w:jc w:val="center"/>
        <w:outlineLvl w:val="0"/>
        <w:rPr>
          <w:b/>
        </w:rPr>
      </w:pPr>
    </w:p>
    <w:p w:rsidRPr="00C02B22" w:rsidR="005900C7" w:rsidP="005900C7" w:rsidRDefault="005900C7">
      <w:pPr>
        <w:spacing w:after="0" w:line="240" w:lineRule="auto"/>
        <w:jc w:val="center"/>
        <w:outlineLvl w:val="0"/>
        <w:rPr>
          <w:b/>
        </w:rPr>
      </w:pPr>
      <w:r w:rsidRPr="00C02B22">
        <w:rPr>
          <w:b/>
        </w:rPr>
        <w:t>Table 1</w:t>
      </w:r>
    </w:p>
    <w:p w:rsidRPr="00C02B22" w:rsidR="005900C7" w:rsidP="005900C7" w:rsidRDefault="005900C7">
      <w:pPr>
        <w:spacing w:after="0" w:line="240" w:lineRule="auto"/>
        <w:jc w:val="center"/>
        <w:rPr>
          <w:b/>
        </w:rPr>
      </w:pPr>
      <w:r>
        <w:rPr>
          <w:b/>
        </w:rPr>
        <w:t>Distribution of UK Students and Working Graduates</w:t>
      </w:r>
      <w:r w:rsidRPr="00C02B22">
        <w:rPr>
          <w:b/>
        </w:rPr>
        <w:t xml:space="preserve"> by </w:t>
      </w:r>
      <w:r>
        <w:rPr>
          <w:b/>
        </w:rPr>
        <w:t>Government Office Region (%s)</w:t>
      </w:r>
    </w:p>
    <w:p w:rsidR="005900C7" w:rsidP="005900C7" w:rsidRDefault="005900C7">
      <w:pPr>
        <w:spacing w:after="0" w:line="240" w:lineRule="auto"/>
      </w:pPr>
    </w:p>
    <w:tbl>
      <w:tblPr>
        <w:tblStyle w:val="TableGrid"/>
        <w:tblW w:w="0" w:type="auto"/>
        <w:jc w:val="center"/>
        <w:tblLook w:val="04A0" w:firstRow="1" w:lastRow="0" w:firstColumn="1" w:lastColumn="0" w:noHBand="0" w:noVBand="1"/>
      </w:tblPr>
      <w:tblGrid>
        <w:gridCol w:w="2460"/>
        <w:gridCol w:w="1371"/>
        <w:gridCol w:w="1371"/>
        <w:gridCol w:w="1381"/>
      </w:tblGrid>
      <w:tr w:rsidR="005900C7" w:rsidTr="00D8370F">
        <w:trPr>
          <w:jc w:val="center"/>
        </w:trPr>
        <w:tc>
          <w:tcPr>
            <w:tcW w:w="2460" w:type="dxa"/>
            <w:tcBorders>
              <w:top w:val="nil"/>
              <w:left w:val="nil"/>
            </w:tcBorders>
          </w:tcPr>
          <w:p w:rsidR="005900C7" w:rsidP="00D8370F" w:rsidRDefault="005900C7"/>
        </w:tc>
        <w:tc>
          <w:tcPr>
            <w:tcW w:w="1371" w:type="dxa"/>
          </w:tcPr>
          <w:p w:rsidRPr="002B5493" w:rsidR="005900C7" w:rsidP="00D8370F" w:rsidRDefault="005900C7">
            <w:pPr>
              <w:jc w:val="center"/>
              <w:rPr>
                <w:b/>
              </w:rPr>
            </w:pPr>
            <w:r w:rsidRPr="002B5493">
              <w:rPr>
                <w:b/>
              </w:rPr>
              <w:t>Domicile</w:t>
            </w:r>
          </w:p>
          <w:p w:rsidRPr="002B5493" w:rsidR="005900C7" w:rsidP="00D8370F" w:rsidRDefault="005900C7">
            <w:pPr>
              <w:jc w:val="center"/>
              <w:rPr>
                <w:b/>
              </w:rPr>
            </w:pPr>
          </w:p>
        </w:tc>
        <w:tc>
          <w:tcPr>
            <w:tcW w:w="1371" w:type="dxa"/>
          </w:tcPr>
          <w:p w:rsidRPr="002B5493" w:rsidR="005900C7" w:rsidP="00D8370F" w:rsidRDefault="005900C7">
            <w:pPr>
              <w:jc w:val="center"/>
              <w:rPr>
                <w:b/>
              </w:rPr>
            </w:pPr>
            <w:r w:rsidRPr="002B5493">
              <w:rPr>
                <w:b/>
              </w:rPr>
              <w:t>Institution</w:t>
            </w:r>
          </w:p>
        </w:tc>
        <w:tc>
          <w:tcPr>
            <w:tcW w:w="1381" w:type="dxa"/>
          </w:tcPr>
          <w:p w:rsidRPr="002B5493" w:rsidR="005900C7" w:rsidP="00D8370F" w:rsidRDefault="005900C7">
            <w:pPr>
              <w:jc w:val="center"/>
              <w:rPr>
                <w:b/>
              </w:rPr>
            </w:pPr>
            <w:r w:rsidRPr="002B5493">
              <w:rPr>
                <w:b/>
              </w:rPr>
              <w:t>Employment</w:t>
            </w:r>
          </w:p>
        </w:tc>
      </w:tr>
      <w:tr w:rsidR="005900C7" w:rsidTr="00D8370F">
        <w:trPr>
          <w:jc w:val="center"/>
        </w:trPr>
        <w:tc>
          <w:tcPr>
            <w:tcW w:w="2460" w:type="dxa"/>
          </w:tcPr>
          <w:p w:rsidR="005900C7" w:rsidP="00D8370F" w:rsidRDefault="005900C7">
            <w:r>
              <w:t>North East</w:t>
            </w:r>
          </w:p>
        </w:tc>
        <w:tc>
          <w:tcPr>
            <w:tcW w:w="1371" w:type="dxa"/>
          </w:tcPr>
          <w:p w:rsidR="005900C7" w:rsidP="00D8370F" w:rsidRDefault="005900C7">
            <w:pPr>
              <w:jc w:val="right"/>
            </w:pPr>
            <w:r>
              <w:t>3.8</w:t>
            </w:r>
          </w:p>
        </w:tc>
        <w:tc>
          <w:tcPr>
            <w:tcW w:w="1371" w:type="dxa"/>
          </w:tcPr>
          <w:p w:rsidR="005900C7" w:rsidP="00D8370F" w:rsidRDefault="005900C7">
            <w:pPr>
              <w:jc w:val="right"/>
            </w:pPr>
            <w:r>
              <w:t>4.3</w:t>
            </w:r>
          </w:p>
        </w:tc>
        <w:tc>
          <w:tcPr>
            <w:tcW w:w="1381" w:type="dxa"/>
          </w:tcPr>
          <w:p w:rsidR="005900C7" w:rsidP="00D8370F" w:rsidRDefault="005900C7">
            <w:pPr>
              <w:jc w:val="right"/>
            </w:pPr>
            <w:r>
              <w:t>3.6</w:t>
            </w:r>
          </w:p>
        </w:tc>
      </w:tr>
      <w:tr w:rsidR="005900C7" w:rsidTr="00D8370F">
        <w:trPr>
          <w:jc w:val="center"/>
        </w:trPr>
        <w:tc>
          <w:tcPr>
            <w:tcW w:w="2460" w:type="dxa"/>
          </w:tcPr>
          <w:p w:rsidR="005900C7" w:rsidP="00D8370F" w:rsidRDefault="005900C7">
            <w:r>
              <w:t>North West</w:t>
            </w:r>
          </w:p>
        </w:tc>
        <w:tc>
          <w:tcPr>
            <w:tcW w:w="1371" w:type="dxa"/>
          </w:tcPr>
          <w:p w:rsidR="005900C7" w:rsidP="00D8370F" w:rsidRDefault="005900C7">
            <w:pPr>
              <w:jc w:val="right"/>
            </w:pPr>
            <w:r>
              <w:t>11.8</w:t>
            </w:r>
          </w:p>
        </w:tc>
        <w:tc>
          <w:tcPr>
            <w:tcW w:w="1371" w:type="dxa"/>
          </w:tcPr>
          <w:p w:rsidR="005900C7" w:rsidP="00D8370F" w:rsidRDefault="005900C7">
            <w:pPr>
              <w:jc w:val="right"/>
            </w:pPr>
            <w:r>
              <w:t>12.6</w:t>
            </w:r>
          </w:p>
        </w:tc>
        <w:tc>
          <w:tcPr>
            <w:tcW w:w="1381" w:type="dxa"/>
          </w:tcPr>
          <w:p w:rsidR="005900C7" w:rsidP="00D8370F" w:rsidRDefault="005900C7">
            <w:pPr>
              <w:jc w:val="right"/>
            </w:pPr>
            <w:r>
              <w:t>11.6</w:t>
            </w:r>
          </w:p>
        </w:tc>
      </w:tr>
      <w:tr w:rsidR="005900C7" w:rsidTr="00D8370F">
        <w:trPr>
          <w:jc w:val="center"/>
        </w:trPr>
        <w:tc>
          <w:tcPr>
            <w:tcW w:w="2460" w:type="dxa"/>
          </w:tcPr>
          <w:p w:rsidR="005900C7" w:rsidP="00D8370F" w:rsidRDefault="005900C7">
            <w:r>
              <w:t>Yorkshire &amp; Humberside</w:t>
            </w:r>
          </w:p>
        </w:tc>
        <w:tc>
          <w:tcPr>
            <w:tcW w:w="1371" w:type="dxa"/>
          </w:tcPr>
          <w:p w:rsidR="005900C7" w:rsidP="00D8370F" w:rsidRDefault="005900C7">
            <w:pPr>
              <w:jc w:val="right"/>
            </w:pPr>
            <w:r>
              <w:t>7.1</w:t>
            </w:r>
          </w:p>
        </w:tc>
        <w:tc>
          <w:tcPr>
            <w:tcW w:w="1371" w:type="dxa"/>
          </w:tcPr>
          <w:p w:rsidR="005900C7" w:rsidP="00D8370F" w:rsidRDefault="005900C7">
            <w:pPr>
              <w:jc w:val="right"/>
            </w:pPr>
            <w:r>
              <w:t>12.5</w:t>
            </w:r>
          </w:p>
        </w:tc>
        <w:tc>
          <w:tcPr>
            <w:tcW w:w="1381" w:type="dxa"/>
          </w:tcPr>
          <w:p w:rsidR="005900C7" w:rsidP="00D8370F" w:rsidRDefault="005900C7">
            <w:pPr>
              <w:jc w:val="right"/>
            </w:pPr>
            <w:r>
              <w:t>8.3</w:t>
            </w:r>
          </w:p>
        </w:tc>
      </w:tr>
      <w:tr w:rsidR="005900C7" w:rsidTr="00D8370F">
        <w:trPr>
          <w:jc w:val="center"/>
        </w:trPr>
        <w:tc>
          <w:tcPr>
            <w:tcW w:w="2460" w:type="dxa"/>
          </w:tcPr>
          <w:p w:rsidR="005900C7" w:rsidP="00D8370F" w:rsidRDefault="005900C7">
            <w:r>
              <w:t>East Midlands</w:t>
            </w:r>
          </w:p>
        </w:tc>
        <w:tc>
          <w:tcPr>
            <w:tcW w:w="1371" w:type="dxa"/>
          </w:tcPr>
          <w:p w:rsidR="005900C7" w:rsidP="00D8370F" w:rsidRDefault="005900C7">
            <w:pPr>
              <w:jc w:val="right"/>
            </w:pPr>
            <w:r>
              <w:t>6.8</w:t>
            </w:r>
          </w:p>
        </w:tc>
        <w:tc>
          <w:tcPr>
            <w:tcW w:w="1371" w:type="dxa"/>
          </w:tcPr>
          <w:p w:rsidR="005900C7" w:rsidP="00D8370F" w:rsidRDefault="005900C7">
            <w:pPr>
              <w:jc w:val="right"/>
            </w:pPr>
            <w:r>
              <w:t>6.8</w:t>
            </w:r>
          </w:p>
        </w:tc>
        <w:tc>
          <w:tcPr>
            <w:tcW w:w="1381" w:type="dxa"/>
          </w:tcPr>
          <w:p w:rsidR="005900C7" w:rsidP="00D8370F" w:rsidRDefault="005900C7">
            <w:pPr>
              <w:jc w:val="right"/>
            </w:pPr>
            <w:r>
              <w:t>5.8</w:t>
            </w:r>
          </w:p>
        </w:tc>
      </w:tr>
      <w:tr w:rsidR="005900C7" w:rsidTr="00D8370F">
        <w:trPr>
          <w:jc w:val="center"/>
        </w:trPr>
        <w:tc>
          <w:tcPr>
            <w:tcW w:w="2460" w:type="dxa"/>
          </w:tcPr>
          <w:p w:rsidR="005900C7" w:rsidP="00D8370F" w:rsidRDefault="005900C7">
            <w:r>
              <w:t>West Midlands</w:t>
            </w:r>
          </w:p>
        </w:tc>
        <w:tc>
          <w:tcPr>
            <w:tcW w:w="1371" w:type="dxa"/>
          </w:tcPr>
          <w:p w:rsidR="005900C7" w:rsidP="00D8370F" w:rsidRDefault="005900C7">
            <w:pPr>
              <w:jc w:val="right"/>
            </w:pPr>
            <w:r>
              <w:t>8.1</w:t>
            </w:r>
          </w:p>
        </w:tc>
        <w:tc>
          <w:tcPr>
            <w:tcW w:w="1371" w:type="dxa"/>
          </w:tcPr>
          <w:p w:rsidR="005900C7" w:rsidP="00D8370F" w:rsidRDefault="005900C7">
            <w:pPr>
              <w:jc w:val="right"/>
            </w:pPr>
            <w:r>
              <w:t>7.7</w:t>
            </w:r>
          </w:p>
        </w:tc>
        <w:tc>
          <w:tcPr>
            <w:tcW w:w="1381" w:type="dxa"/>
          </w:tcPr>
          <w:p w:rsidR="005900C7" w:rsidP="00D8370F" w:rsidRDefault="005900C7">
            <w:pPr>
              <w:jc w:val="right"/>
            </w:pPr>
            <w:r>
              <w:t>6.5</w:t>
            </w:r>
          </w:p>
        </w:tc>
      </w:tr>
      <w:tr w:rsidR="005900C7" w:rsidTr="00D8370F">
        <w:trPr>
          <w:jc w:val="center"/>
        </w:trPr>
        <w:tc>
          <w:tcPr>
            <w:tcW w:w="2460" w:type="dxa"/>
          </w:tcPr>
          <w:p w:rsidR="005900C7" w:rsidP="00D8370F" w:rsidRDefault="005900C7">
            <w:r>
              <w:t>Eastern</w:t>
            </w:r>
          </w:p>
        </w:tc>
        <w:tc>
          <w:tcPr>
            <w:tcW w:w="1371" w:type="dxa"/>
          </w:tcPr>
          <w:p w:rsidR="005900C7" w:rsidP="00D8370F" w:rsidRDefault="005900C7">
            <w:pPr>
              <w:jc w:val="right"/>
            </w:pPr>
            <w:r>
              <w:t>9.1</w:t>
            </w:r>
          </w:p>
        </w:tc>
        <w:tc>
          <w:tcPr>
            <w:tcW w:w="1371" w:type="dxa"/>
          </w:tcPr>
          <w:p w:rsidR="005900C7" w:rsidP="00D8370F" w:rsidRDefault="005900C7">
            <w:pPr>
              <w:jc w:val="right"/>
            </w:pPr>
            <w:r>
              <w:t>5.9</w:t>
            </w:r>
          </w:p>
        </w:tc>
        <w:tc>
          <w:tcPr>
            <w:tcW w:w="1381" w:type="dxa"/>
          </w:tcPr>
          <w:p w:rsidR="005900C7" w:rsidP="00D8370F" w:rsidRDefault="005900C7">
            <w:pPr>
              <w:jc w:val="right"/>
            </w:pPr>
            <w:r>
              <w:t>6.5</w:t>
            </w:r>
          </w:p>
        </w:tc>
      </w:tr>
      <w:tr w:rsidR="005900C7" w:rsidTr="00D8370F">
        <w:trPr>
          <w:jc w:val="center"/>
        </w:trPr>
        <w:tc>
          <w:tcPr>
            <w:tcW w:w="2460" w:type="dxa"/>
          </w:tcPr>
          <w:p w:rsidR="005900C7" w:rsidP="00D8370F" w:rsidRDefault="005900C7">
            <w:r>
              <w:t>London</w:t>
            </w:r>
          </w:p>
        </w:tc>
        <w:tc>
          <w:tcPr>
            <w:tcW w:w="1371" w:type="dxa"/>
          </w:tcPr>
          <w:p w:rsidR="005900C7" w:rsidP="00D8370F" w:rsidRDefault="005900C7">
            <w:pPr>
              <w:jc w:val="right"/>
            </w:pPr>
            <w:r>
              <w:t>13.3</w:t>
            </w:r>
          </w:p>
        </w:tc>
        <w:tc>
          <w:tcPr>
            <w:tcW w:w="1371" w:type="dxa"/>
          </w:tcPr>
          <w:p w:rsidR="005900C7" w:rsidP="00D8370F" w:rsidRDefault="005900C7">
            <w:pPr>
              <w:jc w:val="right"/>
            </w:pPr>
            <w:r>
              <w:t>13.2</w:t>
            </w:r>
          </w:p>
        </w:tc>
        <w:tc>
          <w:tcPr>
            <w:tcW w:w="1381" w:type="dxa"/>
          </w:tcPr>
          <w:p w:rsidR="005900C7" w:rsidP="00D8370F" w:rsidRDefault="005900C7">
            <w:pPr>
              <w:jc w:val="right"/>
            </w:pPr>
            <w:r>
              <w:t>17.7</w:t>
            </w:r>
          </w:p>
        </w:tc>
      </w:tr>
      <w:tr w:rsidR="005900C7" w:rsidTr="00D8370F">
        <w:trPr>
          <w:jc w:val="center"/>
        </w:trPr>
        <w:tc>
          <w:tcPr>
            <w:tcW w:w="2460" w:type="dxa"/>
          </w:tcPr>
          <w:p w:rsidR="005900C7" w:rsidP="00D8370F" w:rsidRDefault="005900C7">
            <w:r>
              <w:t>South East</w:t>
            </w:r>
          </w:p>
        </w:tc>
        <w:tc>
          <w:tcPr>
            <w:tcW w:w="1371" w:type="dxa"/>
          </w:tcPr>
          <w:p w:rsidR="005900C7" w:rsidP="00D8370F" w:rsidRDefault="005900C7">
            <w:pPr>
              <w:jc w:val="right"/>
            </w:pPr>
            <w:r>
              <w:t>14.4</w:t>
            </w:r>
          </w:p>
        </w:tc>
        <w:tc>
          <w:tcPr>
            <w:tcW w:w="1371" w:type="dxa"/>
          </w:tcPr>
          <w:p w:rsidR="005900C7" w:rsidP="00D8370F" w:rsidRDefault="005900C7">
            <w:pPr>
              <w:jc w:val="right"/>
            </w:pPr>
            <w:r>
              <w:t>11.1</w:t>
            </w:r>
          </w:p>
        </w:tc>
        <w:tc>
          <w:tcPr>
            <w:tcW w:w="1381" w:type="dxa"/>
          </w:tcPr>
          <w:p w:rsidR="005900C7" w:rsidP="00D8370F" w:rsidRDefault="005900C7">
            <w:pPr>
              <w:jc w:val="right"/>
            </w:pPr>
            <w:r>
              <w:t>12.4</w:t>
            </w:r>
          </w:p>
        </w:tc>
      </w:tr>
      <w:tr w:rsidR="005900C7" w:rsidTr="00D8370F">
        <w:trPr>
          <w:jc w:val="center"/>
        </w:trPr>
        <w:tc>
          <w:tcPr>
            <w:tcW w:w="2460" w:type="dxa"/>
          </w:tcPr>
          <w:p w:rsidR="005900C7" w:rsidP="00D8370F" w:rsidRDefault="005900C7">
            <w:r>
              <w:t>South West</w:t>
            </w:r>
          </w:p>
        </w:tc>
        <w:tc>
          <w:tcPr>
            <w:tcW w:w="1371" w:type="dxa"/>
          </w:tcPr>
          <w:p w:rsidR="005900C7" w:rsidP="00D8370F" w:rsidRDefault="005900C7">
            <w:pPr>
              <w:jc w:val="right"/>
            </w:pPr>
            <w:r>
              <w:t>8.7</w:t>
            </w:r>
          </w:p>
        </w:tc>
        <w:tc>
          <w:tcPr>
            <w:tcW w:w="1371" w:type="dxa"/>
          </w:tcPr>
          <w:p w:rsidR="005900C7" w:rsidP="00D8370F" w:rsidRDefault="005900C7">
            <w:pPr>
              <w:jc w:val="right"/>
            </w:pPr>
            <w:r>
              <w:t>8.2</w:t>
            </w:r>
          </w:p>
        </w:tc>
        <w:tc>
          <w:tcPr>
            <w:tcW w:w="1381" w:type="dxa"/>
          </w:tcPr>
          <w:p w:rsidR="005900C7" w:rsidP="00D8370F" w:rsidRDefault="005900C7">
            <w:pPr>
              <w:jc w:val="right"/>
            </w:pPr>
            <w:r>
              <w:t>7.0</w:t>
            </w:r>
          </w:p>
        </w:tc>
      </w:tr>
      <w:tr w:rsidR="005900C7" w:rsidTr="00D8370F">
        <w:trPr>
          <w:jc w:val="center"/>
        </w:trPr>
        <w:tc>
          <w:tcPr>
            <w:tcW w:w="2460" w:type="dxa"/>
          </w:tcPr>
          <w:p w:rsidR="005900C7" w:rsidP="00D8370F" w:rsidRDefault="005900C7">
            <w:r>
              <w:t>Wales</w:t>
            </w:r>
          </w:p>
        </w:tc>
        <w:tc>
          <w:tcPr>
            <w:tcW w:w="1371" w:type="dxa"/>
          </w:tcPr>
          <w:p w:rsidR="005900C7" w:rsidP="00D8370F" w:rsidRDefault="005900C7">
            <w:pPr>
              <w:jc w:val="right"/>
            </w:pPr>
            <w:r>
              <w:t>4.6</w:t>
            </w:r>
          </w:p>
        </w:tc>
        <w:tc>
          <w:tcPr>
            <w:tcW w:w="1371" w:type="dxa"/>
          </w:tcPr>
          <w:p w:rsidR="005900C7" w:rsidP="00D8370F" w:rsidRDefault="005900C7">
            <w:pPr>
              <w:jc w:val="right"/>
            </w:pPr>
            <w:r>
              <w:t>5.4</w:t>
            </w:r>
          </w:p>
        </w:tc>
        <w:tc>
          <w:tcPr>
            <w:tcW w:w="1381" w:type="dxa"/>
          </w:tcPr>
          <w:p w:rsidR="005900C7" w:rsidP="00D8370F" w:rsidRDefault="005900C7">
            <w:pPr>
              <w:jc w:val="right"/>
            </w:pPr>
            <w:r>
              <w:t>4.7</w:t>
            </w:r>
          </w:p>
        </w:tc>
      </w:tr>
      <w:tr w:rsidR="005900C7" w:rsidTr="00D8370F">
        <w:trPr>
          <w:jc w:val="center"/>
        </w:trPr>
        <w:tc>
          <w:tcPr>
            <w:tcW w:w="2460" w:type="dxa"/>
          </w:tcPr>
          <w:p w:rsidR="005900C7" w:rsidP="00D8370F" w:rsidRDefault="005900C7">
            <w:r>
              <w:t>Scotland</w:t>
            </w:r>
          </w:p>
        </w:tc>
        <w:tc>
          <w:tcPr>
            <w:tcW w:w="1371" w:type="dxa"/>
          </w:tcPr>
          <w:p w:rsidR="005900C7" w:rsidP="00D8370F" w:rsidRDefault="005900C7">
            <w:pPr>
              <w:jc w:val="right"/>
            </w:pPr>
            <w:r>
              <w:t>8.2</w:t>
            </w:r>
          </w:p>
        </w:tc>
        <w:tc>
          <w:tcPr>
            <w:tcW w:w="1371" w:type="dxa"/>
          </w:tcPr>
          <w:p w:rsidR="005900C7" w:rsidP="00D8370F" w:rsidRDefault="005900C7">
            <w:pPr>
              <w:jc w:val="right"/>
            </w:pPr>
            <w:r>
              <w:t>9.1</w:t>
            </w:r>
          </w:p>
        </w:tc>
        <w:tc>
          <w:tcPr>
            <w:tcW w:w="1381" w:type="dxa"/>
          </w:tcPr>
          <w:p w:rsidR="005900C7" w:rsidP="00D8370F" w:rsidRDefault="005900C7">
            <w:pPr>
              <w:jc w:val="right"/>
            </w:pPr>
            <w:r>
              <w:t>8.2</w:t>
            </w:r>
          </w:p>
        </w:tc>
      </w:tr>
      <w:tr w:rsidR="005900C7" w:rsidTr="00D8370F">
        <w:trPr>
          <w:jc w:val="center"/>
        </w:trPr>
        <w:tc>
          <w:tcPr>
            <w:tcW w:w="2460" w:type="dxa"/>
          </w:tcPr>
          <w:p w:rsidR="005900C7" w:rsidP="00D8370F" w:rsidRDefault="005900C7">
            <w:r>
              <w:t>Northern Ireland</w:t>
            </w:r>
          </w:p>
        </w:tc>
        <w:tc>
          <w:tcPr>
            <w:tcW w:w="1371" w:type="dxa"/>
          </w:tcPr>
          <w:p w:rsidR="005900C7" w:rsidP="00D8370F" w:rsidRDefault="005900C7">
            <w:pPr>
              <w:jc w:val="right"/>
            </w:pPr>
            <w:r>
              <w:t>4.0</w:t>
            </w:r>
          </w:p>
        </w:tc>
        <w:tc>
          <w:tcPr>
            <w:tcW w:w="1371" w:type="dxa"/>
          </w:tcPr>
          <w:p w:rsidR="005900C7" w:rsidP="00D8370F" w:rsidRDefault="005900C7">
            <w:pPr>
              <w:jc w:val="right"/>
            </w:pPr>
            <w:r>
              <w:t>3.2</w:t>
            </w:r>
          </w:p>
        </w:tc>
        <w:tc>
          <w:tcPr>
            <w:tcW w:w="1381" w:type="dxa"/>
          </w:tcPr>
          <w:p w:rsidR="005900C7" w:rsidP="00D8370F" w:rsidRDefault="005900C7">
            <w:pPr>
              <w:jc w:val="right"/>
            </w:pPr>
            <w:r>
              <w:t>3.4</w:t>
            </w:r>
          </w:p>
        </w:tc>
      </w:tr>
      <w:tr w:rsidR="005900C7" w:rsidTr="00D8370F">
        <w:trPr>
          <w:jc w:val="center"/>
        </w:trPr>
        <w:tc>
          <w:tcPr>
            <w:tcW w:w="2460" w:type="dxa"/>
          </w:tcPr>
          <w:p w:rsidR="005900C7" w:rsidP="00D8370F" w:rsidRDefault="005900C7">
            <w:r>
              <w:t>Outside UK</w:t>
            </w:r>
          </w:p>
        </w:tc>
        <w:tc>
          <w:tcPr>
            <w:tcW w:w="1371" w:type="dxa"/>
          </w:tcPr>
          <w:p w:rsidR="005900C7" w:rsidP="00D8370F" w:rsidRDefault="005900C7">
            <w:pPr>
              <w:jc w:val="right"/>
            </w:pPr>
            <w:r>
              <w:t>0.0</w:t>
            </w:r>
          </w:p>
        </w:tc>
        <w:tc>
          <w:tcPr>
            <w:tcW w:w="1371" w:type="dxa"/>
          </w:tcPr>
          <w:p w:rsidR="005900C7" w:rsidP="00D8370F" w:rsidRDefault="005900C7">
            <w:pPr>
              <w:jc w:val="right"/>
            </w:pPr>
            <w:r>
              <w:t>0.0</w:t>
            </w:r>
          </w:p>
        </w:tc>
        <w:tc>
          <w:tcPr>
            <w:tcW w:w="1381" w:type="dxa"/>
          </w:tcPr>
          <w:p w:rsidR="005900C7" w:rsidP="00D8370F" w:rsidRDefault="005900C7">
            <w:pPr>
              <w:jc w:val="right"/>
            </w:pPr>
            <w:r>
              <w:t>4.4</w:t>
            </w:r>
          </w:p>
        </w:tc>
      </w:tr>
      <w:tr w:rsidR="005900C7" w:rsidTr="00D8370F">
        <w:trPr>
          <w:jc w:val="center"/>
        </w:trPr>
        <w:tc>
          <w:tcPr>
            <w:tcW w:w="2460" w:type="dxa"/>
          </w:tcPr>
          <w:p w:rsidR="005900C7" w:rsidP="00D8370F" w:rsidRDefault="005900C7">
            <w:r>
              <w:t>Sample size</w:t>
            </w:r>
          </w:p>
        </w:tc>
        <w:tc>
          <w:tcPr>
            <w:tcW w:w="1371" w:type="dxa"/>
          </w:tcPr>
          <w:p w:rsidR="005900C7" w:rsidP="00D8370F" w:rsidRDefault="005900C7">
            <w:pPr>
              <w:jc w:val="right"/>
            </w:pPr>
            <w:r>
              <w:t>14,153</w:t>
            </w:r>
          </w:p>
        </w:tc>
        <w:tc>
          <w:tcPr>
            <w:tcW w:w="1371" w:type="dxa"/>
          </w:tcPr>
          <w:p w:rsidR="005900C7" w:rsidP="00D8370F" w:rsidRDefault="005900C7">
            <w:pPr>
              <w:jc w:val="right"/>
            </w:pPr>
            <w:r>
              <w:t>14,534</w:t>
            </w:r>
          </w:p>
        </w:tc>
        <w:tc>
          <w:tcPr>
            <w:tcW w:w="1381" w:type="dxa"/>
          </w:tcPr>
          <w:p w:rsidR="005900C7" w:rsidP="00D8370F" w:rsidRDefault="005900C7">
            <w:pPr>
              <w:jc w:val="right"/>
            </w:pPr>
            <w:r>
              <w:t>10,213</w:t>
            </w:r>
          </w:p>
        </w:tc>
      </w:tr>
    </w:tbl>
    <w:p w:rsidRPr="004F503C" w:rsidR="005900C7" w:rsidP="005900C7" w:rsidRDefault="005900C7">
      <w:pPr>
        <w:spacing w:after="0" w:line="240" w:lineRule="auto"/>
        <w:ind w:left="709" w:hanging="709"/>
        <w:jc w:val="both"/>
      </w:pPr>
    </w:p>
    <w:p w:rsidR="005900C7" w:rsidP="005900C7" w:rsidRDefault="005900C7">
      <w:pPr>
        <w:spacing w:after="0" w:line="240" w:lineRule="auto"/>
        <w:ind w:left="709" w:hanging="709"/>
        <w:jc w:val="both"/>
      </w:pPr>
      <w:r w:rsidRPr="00603659">
        <w:rPr>
          <w:i/>
        </w:rPr>
        <w:t>Note</w:t>
      </w:r>
      <w:r>
        <w:t>:</w:t>
      </w:r>
      <w:r>
        <w:tab/>
        <w:t xml:space="preserve">all figures are weighted using </w:t>
      </w:r>
      <w:r w:rsidR="00F8320F">
        <w:t xml:space="preserve"> </w:t>
      </w:r>
      <w:r w:rsidRPr="00860E6C">
        <w:rPr>
          <w:i/>
        </w:rPr>
        <w:t>finalwt</w:t>
      </w:r>
      <w:r>
        <w:t xml:space="preserve"> to be nationally representative.</w:t>
      </w:r>
    </w:p>
    <w:p w:rsidR="005900C7" w:rsidP="00FC2291" w:rsidRDefault="005900C7">
      <w:pPr>
        <w:spacing w:after="0" w:line="360" w:lineRule="auto"/>
        <w:jc w:val="both"/>
      </w:pPr>
    </w:p>
    <w:p w:rsidR="00C16DBC" w:rsidP="00FC2291" w:rsidRDefault="00E648C1">
      <w:pPr>
        <w:spacing w:after="0" w:line="360" w:lineRule="auto"/>
        <w:jc w:val="both"/>
      </w:pPr>
      <w:r>
        <w:t xml:space="preserve">While such </w:t>
      </w:r>
      <w:r w:rsidR="000514AF">
        <w:t xml:space="preserve">patterns </w:t>
      </w:r>
      <w:r>
        <w:t xml:space="preserve">are well-known, </w:t>
      </w:r>
      <w:r w:rsidR="00D2765E">
        <w:t xml:space="preserve">we are </w:t>
      </w:r>
      <w:r w:rsidR="007408E2">
        <w:t xml:space="preserve">also </w:t>
      </w:r>
      <w:r w:rsidR="00D2765E">
        <w:t>able to quantify the average distance that students move</w:t>
      </w:r>
      <w:r w:rsidR="00AC2DD7">
        <w:t xml:space="preserve"> (by above</w:t>
      </w:r>
      <w:r w:rsidR="00AC6E8A">
        <w:t>-</w:t>
      </w:r>
      <w:r w:rsidR="00AC2DD7">
        <w:t>defined region)</w:t>
      </w:r>
      <w:r w:rsidR="00D2765E">
        <w:t xml:space="preserve">, </w:t>
      </w:r>
      <w:r w:rsidR="00801348">
        <w:t>both prior and subsequent to attending university</w:t>
      </w:r>
      <w:r w:rsidR="00692B37">
        <w:t xml:space="preserve"> (see Table 2)</w:t>
      </w:r>
      <w:r w:rsidR="000F2E75">
        <w:t xml:space="preserve">. </w:t>
      </w:r>
      <w:r w:rsidR="00692B37">
        <w:t>With regard</w:t>
      </w:r>
      <w:r w:rsidR="001E37D9">
        <w:t xml:space="preserve"> to</w:t>
      </w:r>
      <w:r w:rsidR="00692B37">
        <w:t xml:space="preserve"> the initial movement to university, those </w:t>
      </w:r>
      <w:r w:rsidR="00B974CA">
        <w:t xml:space="preserve">domiciled in London move on average the least </w:t>
      </w:r>
      <w:r w:rsidR="007408E2">
        <w:t xml:space="preserve">distance </w:t>
      </w:r>
      <w:r w:rsidR="00B974CA">
        <w:t>(57.7</w:t>
      </w:r>
      <w:r w:rsidR="009B3C42">
        <w:t>km</w:t>
      </w:r>
      <w:r w:rsidR="00B974CA">
        <w:t>) and those in the South West the greatest (133.0</w:t>
      </w:r>
      <w:r w:rsidR="009B3C42">
        <w:t>km</w:t>
      </w:r>
      <w:r w:rsidR="00B974CA">
        <w:t xml:space="preserve">). Noticeably, there is also </w:t>
      </w:r>
      <w:r w:rsidR="00B974CA">
        <w:lastRenderedPageBreak/>
        <w:t xml:space="preserve">a </w:t>
      </w:r>
      <w:r w:rsidR="001E37D9">
        <w:t xml:space="preserve">greater </w:t>
      </w:r>
      <w:r w:rsidR="00B974CA">
        <w:t xml:space="preserve">tendency to move </w:t>
      </w:r>
      <w:r w:rsidR="001E37D9">
        <w:t xml:space="preserve">in </w:t>
      </w:r>
      <w:r w:rsidR="00B974CA">
        <w:t xml:space="preserve">the south east corner of England </w:t>
      </w:r>
      <w:r w:rsidR="001E37D9">
        <w:t>more generally</w:t>
      </w:r>
      <w:r w:rsidR="00B974CA">
        <w:t>, with the South East (129.9</w:t>
      </w:r>
      <w:r w:rsidR="009B3C42">
        <w:t>km</w:t>
      </w:r>
      <w:r w:rsidR="00B974CA">
        <w:t>) and Eastern region (128.7</w:t>
      </w:r>
      <w:r w:rsidR="009B3C42">
        <w:t>km</w:t>
      </w:r>
      <w:r w:rsidR="00B974CA">
        <w:t xml:space="preserve">) having </w:t>
      </w:r>
      <w:r w:rsidR="00F4558A">
        <w:t xml:space="preserve">the next two highest </w:t>
      </w:r>
      <w:r w:rsidR="007408E2">
        <w:t xml:space="preserve">average </w:t>
      </w:r>
      <w:r w:rsidR="00F4558A">
        <w:t>distances. At the other extreme is Scotland (77.5</w:t>
      </w:r>
      <w:r w:rsidR="009B3C42">
        <w:t>km</w:t>
      </w:r>
      <w:r w:rsidR="00F4558A">
        <w:t>), which in spite of its regional remoteness has the second lowest figure after London.</w:t>
      </w:r>
      <w:r w:rsidR="006356ED">
        <w:rPr>
          <w:rStyle w:val="EndnoteReference"/>
        </w:rPr>
        <w:endnoteReference w:id="11"/>
      </w:r>
      <w:r w:rsidR="00801348">
        <w:t xml:space="preserve"> The average </w:t>
      </w:r>
      <w:r w:rsidR="00825B38">
        <w:t xml:space="preserve">distance </w:t>
      </w:r>
      <w:r w:rsidR="00801348">
        <w:t>for the second stage movement from university to gain employment</w:t>
      </w:r>
      <w:r w:rsidR="00336B80">
        <w:t xml:space="preserve"> is lower in the aggregate (74.1</w:t>
      </w:r>
      <w:r w:rsidR="009B3C42">
        <w:t>km</w:t>
      </w:r>
      <w:r w:rsidR="00336B80">
        <w:t xml:space="preserve">) than the average distance </w:t>
      </w:r>
      <w:r w:rsidR="00825B38">
        <w:t xml:space="preserve">moved from domicile </w:t>
      </w:r>
      <w:r w:rsidR="00336B80">
        <w:t>to university (91.2</w:t>
      </w:r>
      <w:r w:rsidR="009B3C42">
        <w:t>km</w:t>
      </w:r>
      <w:r w:rsidR="00336B80">
        <w:t>)</w:t>
      </w:r>
      <w:r w:rsidR="00825B38">
        <w:t>. W</w:t>
      </w:r>
      <w:r w:rsidR="00336B80">
        <w:t xml:space="preserve">hile there are a number of ways in which distances </w:t>
      </w:r>
      <w:r w:rsidR="000514AF">
        <w:t xml:space="preserve">may </w:t>
      </w:r>
      <w:r w:rsidR="00336B80">
        <w:t xml:space="preserve">be calculated, there are interesting patterns along the lines of </w:t>
      </w:r>
      <w:r w:rsidR="00800593">
        <w:t xml:space="preserve">region of </w:t>
      </w:r>
      <w:r w:rsidR="00336B80">
        <w:t>domicile, institution and e</w:t>
      </w:r>
      <w:r w:rsidR="00800593">
        <w:t>mployment.</w:t>
      </w:r>
      <w:r w:rsidR="00ED0B00">
        <w:t xml:space="preserve"> With regard to region of domicile, </w:t>
      </w:r>
      <w:r w:rsidR="00825B38">
        <w:t xml:space="preserve">the </w:t>
      </w:r>
      <w:r w:rsidR="00ED0B00">
        <w:t xml:space="preserve">three regions with the highest </w:t>
      </w:r>
      <w:r w:rsidR="00825B38">
        <w:t>average</w:t>
      </w:r>
      <w:r w:rsidR="00ED0B00">
        <w:t xml:space="preserve"> distances </w:t>
      </w:r>
      <w:r w:rsidR="00A819A5">
        <w:t xml:space="preserve">moved </w:t>
      </w:r>
      <w:r w:rsidR="00ED0B00">
        <w:t xml:space="preserve">to university (South West, South East and Eastern) also have the three highest average distances </w:t>
      </w:r>
      <w:r w:rsidR="00A819A5">
        <w:t xml:space="preserve">moved </w:t>
      </w:r>
      <w:r w:rsidR="00ED0B00">
        <w:t xml:space="preserve">from university </w:t>
      </w:r>
      <w:r w:rsidR="00A819A5">
        <w:t xml:space="preserve">to employment (i.e. </w:t>
      </w:r>
      <w:r w:rsidR="00ED0B00">
        <w:t>99.1, 97.1 and 108.3</w:t>
      </w:r>
      <w:r w:rsidR="009B3C42">
        <w:t>km</w:t>
      </w:r>
      <w:r w:rsidR="00ED0B00">
        <w:t xml:space="preserve"> respectively</w:t>
      </w:r>
      <w:r w:rsidR="00A819A5">
        <w:t>)</w:t>
      </w:r>
      <w:r w:rsidR="00ED0B00">
        <w:t>, and London still has the lowe</w:t>
      </w:r>
      <w:r w:rsidR="00A95EE9">
        <w:t xml:space="preserve">st average distance at 48.0km. Indeed, as noted earlier </w:t>
      </w:r>
      <w:r w:rsidR="00262B07">
        <w:t>in Table</w:t>
      </w:r>
      <w:r w:rsidR="00D12D6F">
        <w:t xml:space="preserve"> 1,</w:t>
      </w:r>
      <w:r w:rsidR="00A95EE9">
        <w:t xml:space="preserve"> London is a hub of graduate employment and evidently many of those who study in London also subsequently find employment there.</w:t>
      </w:r>
      <w:r w:rsidR="00463F1F">
        <w:rPr>
          <w:rStyle w:val="EndnoteReference"/>
        </w:rPr>
        <w:endnoteReference w:id="12"/>
      </w:r>
      <w:r w:rsidR="00D82C47">
        <w:t xml:space="preserve"> This is supported by the low average distance (29.3</w:t>
      </w:r>
      <w:r w:rsidR="009B3C42">
        <w:t>km</w:t>
      </w:r>
      <w:r w:rsidR="00D82C47">
        <w:t>) that students who studie</w:t>
      </w:r>
      <w:r w:rsidR="000C603F">
        <w:t>d</w:t>
      </w:r>
      <w:r w:rsidR="00D82C47">
        <w:t xml:space="preserve"> in London </w:t>
      </w:r>
      <w:r w:rsidR="000C603F">
        <w:t>subsequently move to</w:t>
      </w:r>
      <w:r w:rsidR="00D82C47">
        <w:t xml:space="preserve"> take up a job.</w:t>
      </w:r>
      <w:r w:rsidR="00490719">
        <w:t xml:space="preserve"> Also of note is the fact that average travel distances are lowest for those </w:t>
      </w:r>
      <w:r w:rsidR="000C603F">
        <w:t>employed</w:t>
      </w:r>
      <w:r w:rsidR="00490719">
        <w:t xml:space="preserve"> in Scotland (46.</w:t>
      </w:r>
      <w:r w:rsidR="000C603F">
        <w:t>6</w:t>
      </w:r>
      <w:r w:rsidR="009B3C42">
        <w:t>km</w:t>
      </w:r>
      <w:r w:rsidR="00490719">
        <w:t>)</w:t>
      </w:r>
      <w:r w:rsidR="00826536">
        <w:t xml:space="preserve"> and </w:t>
      </w:r>
      <w:r w:rsidR="00B959C0">
        <w:t xml:space="preserve">appreciably lower than the average distance travelled by those who study in Scotland (101.7km). </w:t>
      </w:r>
      <w:r w:rsidR="000C603F">
        <w:t>T</w:t>
      </w:r>
      <w:r w:rsidR="00826536">
        <w:t xml:space="preserve">his supports the view </w:t>
      </w:r>
      <w:r w:rsidR="000C603F">
        <w:t xml:space="preserve">seen in Table 1 </w:t>
      </w:r>
      <w:r w:rsidR="00826536">
        <w:t>that while Scotland is a net importer of students (9.1% of students study there from a student base of 8.2% of the UK population), it is a net exporter of graduates (</w:t>
      </w:r>
      <w:r w:rsidR="00A819A5">
        <w:t xml:space="preserve">with only </w:t>
      </w:r>
      <w:r w:rsidR="00826536">
        <w:t>8.2% of graduates employed there).</w:t>
      </w:r>
    </w:p>
    <w:p w:rsidR="00C16DBC" w:rsidP="00FC2291" w:rsidRDefault="00C16DBC">
      <w:pPr>
        <w:spacing w:after="0" w:line="360" w:lineRule="auto"/>
        <w:jc w:val="both"/>
      </w:pPr>
    </w:p>
    <w:p w:rsidRPr="00C02B22" w:rsidR="005900C7" w:rsidP="005900C7" w:rsidRDefault="005900C7">
      <w:pPr>
        <w:spacing w:after="0" w:line="240" w:lineRule="auto"/>
        <w:jc w:val="center"/>
        <w:outlineLvl w:val="0"/>
        <w:rPr>
          <w:b/>
        </w:rPr>
      </w:pPr>
      <w:r>
        <w:rPr>
          <w:b/>
        </w:rPr>
        <w:t>Table 2</w:t>
      </w:r>
    </w:p>
    <w:p w:rsidRPr="00C02B22" w:rsidR="005900C7" w:rsidP="005900C7" w:rsidRDefault="005900C7">
      <w:pPr>
        <w:spacing w:after="0" w:line="240" w:lineRule="auto"/>
        <w:jc w:val="center"/>
        <w:rPr>
          <w:b/>
        </w:rPr>
      </w:pPr>
      <w:r>
        <w:rPr>
          <w:b/>
        </w:rPr>
        <w:t>Average Distances Moved</w:t>
      </w:r>
      <w:r w:rsidRPr="00C02B22">
        <w:rPr>
          <w:b/>
        </w:rPr>
        <w:t xml:space="preserve"> </w:t>
      </w:r>
      <w:r>
        <w:rPr>
          <w:b/>
        </w:rPr>
        <w:t xml:space="preserve">(Km) </w:t>
      </w:r>
      <w:r w:rsidRPr="00C02B22">
        <w:rPr>
          <w:b/>
        </w:rPr>
        <w:t xml:space="preserve">by </w:t>
      </w:r>
      <w:r>
        <w:rPr>
          <w:b/>
        </w:rPr>
        <w:t>Government Office Region</w:t>
      </w:r>
    </w:p>
    <w:p w:rsidR="005900C7" w:rsidP="005900C7" w:rsidRDefault="005900C7">
      <w:pPr>
        <w:spacing w:after="0" w:line="240" w:lineRule="auto"/>
      </w:pPr>
    </w:p>
    <w:tbl>
      <w:tblPr>
        <w:tblStyle w:val="TableGrid"/>
        <w:tblW w:w="8275" w:type="dxa"/>
        <w:jc w:val="center"/>
        <w:tblLook w:val="04A0" w:firstRow="1" w:lastRow="0" w:firstColumn="1" w:lastColumn="0" w:noHBand="0" w:noVBand="1"/>
      </w:tblPr>
      <w:tblGrid>
        <w:gridCol w:w="2437"/>
        <w:gridCol w:w="1459"/>
        <w:gridCol w:w="1460"/>
        <w:gridCol w:w="1459"/>
        <w:gridCol w:w="1460"/>
      </w:tblGrid>
      <w:tr w:rsidR="005900C7" w:rsidTr="00D8370F">
        <w:trPr>
          <w:jc w:val="center"/>
        </w:trPr>
        <w:tc>
          <w:tcPr>
            <w:tcW w:w="2437" w:type="dxa"/>
            <w:vMerge w:val="restart"/>
          </w:tcPr>
          <w:p w:rsidR="005900C7" w:rsidP="00D8370F" w:rsidRDefault="005900C7"/>
        </w:tc>
        <w:tc>
          <w:tcPr>
            <w:tcW w:w="1459" w:type="dxa"/>
            <w:vMerge w:val="restart"/>
            <w:vAlign w:val="center"/>
          </w:tcPr>
          <w:p w:rsidRPr="0011377E" w:rsidR="005900C7" w:rsidP="00D8370F" w:rsidRDefault="005900C7">
            <w:pPr>
              <w:jc w:val="center"/>
              <w:rPr>
                <w:b/>
              </w:rPr>
            </w:pPr>
            <w:r>
              <w:rPr>
                <w:b/>
              </w:rPr>
              <w:t>To University</w:t>
            </w:r>
          </w:p>
        </w:tc>
        <w:tc>
          <w:tcPr>
            <w:tcW w:w="4379" w:type="dxa"/>
            <w:gridSpan w:val="3"/>
          </w:tcPr>
          <w:p w:rsidR="005900C7" w:rsidP="00D8370F" w:rsidRDefault="005900C7">
            <w:pPr>
              <w:jc w:val="center"/>
              <w:rPr>
                <w:b/>
              </w:rPr>
            </w:pPr>
            <w:r>
              <w:rPr>
                <w:b/>
              </w:rPr>
              <w:t>From University</w:t>
            </w:r>
          </w:p>
        </w:tc>
      </w:tr>
      <w:tr w:rsidR="005900C7" w:rsidTr="00D8370F">
        <w:trPr>
          <w:jc w:val="center"/>
        </w:trPr>
        <w:tc>
          <w:tcPr>
            <w:tcW w:w="2437" w:type="dxa"/>
            <w:vMerge/>
          </w:tcPr>
          <w:p w:rsidR="005900C7" w:rsidP="00D8370F" w:rsidRDefault="005900C7"/>
        </w:tc>
        <w:tc>
          <w:tcPr>
            <w:tcW w:w="1459" w:type="dxa"/>
            <w:vMerge/>
          </w:tcPr>
          <w:p w:rsidR="005900C7" w:rsidP="00D8370F" w:rsidRDefault="005900C7">
            <w:pPr>
              <w:jc w:val="center"/>
              <w:rPr>
                <w:b/>
              </w:rPr>
            </w:pPr>
          </w:p>
        </w:tc>
        <w:tc>
          <w:tcPr>
            <w:tcW w:w="1460" w:type="dxa"/>
          </w:tcPr>
          <w:p w:rsidR="005900C7" w:rsidP="00D8370F" w:rsidRDefault="005900C7">
            <w:pPr>
              <w:jc w:val="center"/>
              <w:rPr>
                <w:b/>
              </w:rPr>
            </w:pPr>
            <w:r>
              <w:rPr>
                <w:b/>
              </w:rPr>
              <w:t>Domicile</w:t>
            </w:r>
          </w:p>
        </w:tc>
        <w:tc>
          <w:tcPr>
            <w:tcW w:w="1459" w:type="dxa"/>
          </w:tcPr>
          <w:p w:rsidR="005900C7" w:rsidP="00D8370F" w:rsidRDefault="005900C7">
            <w:pPr>
              <w:jc w:val="center"/>
              <w:rPr>
                <w:b/>
              </w:rPr>
            </w:pPr>
            <w:r>
              <w:rPr>
                <w:b/>
              </w:rPr>
              <w:t>Institution</w:t>
            </w:r>
          </w:p>
        </w:tc>
        <w:tc>
          <w:tcPr>
            <w:tcW w:w="1460" w:type="dxa"/>
          </w:tcPr>
          <w:p w:rsidR="005900C7" w:rsidP="00D8370F" w:rsidRDefault="005900C7">
            <w:pPr>
              <w:jc w:val="center"/>
              <w:rPr>
                <w:b/>
              </w:rPr>
            </w:pPr>
            <w:r>
              <w:rPr>
                <w:b/>
              </w:rPr>
              <w:t>Employment</w:t>
            </w:r>
          </w:p>
        </w:tc>
      </w:tr>
      <w:tr w:rsidR="005900C7" w:rsidTr="00D8370F">
        <w:trPr>
          <w:jc w:val="center"/>
        </w:trPr>
        <w:tc>
          <w:tcPr>
            <w:tcW w:w="2437" w:type="dxa"/>
          </w:tcPr>
          <w:p w:rsidR="005900C7" w:rsidP="00D8370F" w:rsidRDefault="005900C7">
            <w:r>
              <w:t>North East</w:t>
            </w:r>
          </w:p>
        </w:tc>
        <w:tc>
          <w:tcPr>
            <w:tcW w:w="1459" w:type="dxa"/>
          </w:tcPr>
          <w:p w:rsidR="005900C7" w:rsidP="00D8370F" w:rsidRDefault="005900C7">
            <w:pPr>
              <w:jc w:val="right"/>
            </w:pPr>
            <w:r>
              <w:t>110.0</w:t>
            </w:r>
          </w:p>
        </w:tc>
        <w:tc>
          <w:tcPr>
            <w:tcW w:w="1460" w:type="dxa"/>
          </w:tcPr>
          <w:p w:rsidR="005900C7" w:rsidP="00D8370F" w:rsidRDefault="005900C7">
            <w:pPr>
              <w:jc w:val="right"/>
            </w:pPr>
            <w:r>
              <w:t>93.3</w:t>
            </w:r>
          </w:p>
        </w:tc>
        <w:tc>
          <w:tcPr>
            <w:tcW w:w="1459" w:type="dxa"/>
          </w:tcPr>
          <w:p w:rsidR="005900C7" w:rsidP="00D8370F" w:rsidRDefault="005900C7">
            <w:pPr>
              <w:jc w:val="right"/>
            </w:pPr>
            <w:r>
              <w:t>103.0</w:t>
            </w:r>
          </w:p>
        </w:tc>
        <w:tc>
          <w:tcPr>
            <w:tcW w:w="1460" w:type="dxa"/>
          </w:tcPr>
          <w:p w:rsidR="005900C7" w:rsidP="00D8370F" w:rsidRDefault="005900C7">
            <w:pPr>
              <w:jc w:val="right"/>
            </w:pPr>
            <w:r>
              <w:t>84.2</w:t>
            </w:r>
          </w:p>
        </w:tc>
      </w:tr>
      <w:tr w:rsidR="005900C7" w:rsidTr="00D8370F">
        <w:trPr>
          <w:jc w:val="center"/>
        </w:trPr>
        <w:tc>
          <w:tcPr>
            <w:tcW w:w="2437" w:type="dxa"/>
          </w:tcPr>
          <w:p w:rsidR="005900C7" w:rsidP="00D8370F" w:rsidRDefault="005900C7">
            <w:r>
              <w:t>North West</w:t>
            </w:r>
          </w:p>
        </w:tc>
        <w:tc>
          <w:tcPr>
            <w:tcW w:w="1459" w:type="dxa"/>
          </w:tcPr>
          <w:p w:rsidR="005900C7" w:rsidP="00D8370F" w:rsidRDefault="005900C7">
            <w:pPr>
              <w:jc w:val="right"/>
            </w:pPr>
            <w:r>
              <w:t>78.7</w:t>
            </w:r>
          </w:p>
        </w:tc>
        <w:tc>
          <w:tcPr>
            <w:tcW w:w="1460" w:type="dxa"/>
          </w:tcPr>
          <w:p w:rsidR="005900C7" w:rsidP="00D8370F" w:rsidRDefault="005900C7">
            <w:pPr>
              <w:jc w:val="right"/>
            </w:pPr>
            <w:r>
              <w:t>61.4</w:t>
            </w:r>
          </w:p>
        </w:tc>
        <w:tc>
          <w:tcPr>
            <w:tcW w:w="1459" w:type="dxa"/>
          </w:tcPr>
          <w:p w:rsidR="005900C7" w:rsidP="00D8370F" w:rsidRDefault="005900C7">
            <w:pPr>
              <w:jc w:val="right"/>
            </w:pPr>
            <w:r>
              <w:t>74.9</w:t>
            </w:r>
          </w:p>
        </w:tc>
        <w:tc>
          <w:tcPr>
            <w:tcW w:w="1460" w:type="dxa"/>
          </w:tcPr>
          <w:p w:rsidR="005900C7" w:rsidP="00D8370F" w:rsidRDefault="005900C7">
            <w:pPr>
              <w:jc w:val="right"/>
            </w:pPr>
            <w:r>
              <w:t>55.4</w:t>
            </w:r>
          </w:p>
        </w:tc>
      </w:tr>
      <w:tr w:rsidR="005900C7" w:rsidTr="00D8370F">
        <w:trPr>
          <w:jc w:val="center"/>
        </w:trPr>
        <w:tc>
          <w:tcPr>
            <w:tcW w:w="2437" w:type="dxa"/>
          </w:tcPr>
          <w:p w:rsidR="005900C7" w:rsidP="00D8370F" w:rsidRDefault="005900C7">
            <w:r>
              <w:t>Yorkshire &amp; Humberside</w:t>
            </w:r>
          </w:p>
        </w:tc>
        <w:tc>
          <w:tcPr>
            <w:tcW w:w="1459" w:type="dxa"/>
          </w:tcPr>
          <w:p w:rsidR="005900C7" w:rsidP="00D8370F" w:rsidRDefault="005900C7">
            <w:pPr>
              <w:jc w:val="right"/>
            </w:pPr>
            <w:r>
              <w:t>82.7</w:t>
            </w:r>
          </w:p>
        </w:tc>
        <w:tc>
          <w:tcPr>
            <w:tcW w:w="1460" w:type="dxa"/>
          </w:tcPr>
          <w:p w:rsidR="005900C7" w:rsidP="00D8370F" w:rsidRDefault="005900C7">
            <w:pPr>
              <w:jc w:val="right"/>
            </w:pPr>
            <w:r>
              <w:t>71.6</w:t>
            </w:r>
          </w:p>
        </w:tc>
        <w:tc>
          <w:tcPr>
            <w:tcW w:w="1459" w:type="dxa"/>
          </w:tcPr>
          <w:p w:rsidR="005900C7" w:rsidP="00D8370F" w:rsidRDefault="005900C7">
            <w:pPr>
              <w:jc w:val="right"/>
            </w:pPr>
            <w:r>
              <w:t>92.7</w:t>
            </w:r>
          </w:p>
        </w:tc>
        <w:tc>
          <w:tcPr>
            <w:tcW w:w="1460" w:type="dxa"/>
          </w:tcPr>
          <w:p w:rsidR="005900C7" w:rsidP="00D8370F" w:rsidRDefault="005900C7">
            <w:pPr>
              <w:jc w:val="right"/>
            </w:pPr>
            <w:r>
              <w:t>61.2</w:t>
            </w:r>
          </w:p>
        </w:tc>
      </w:tr>
      <w:tr w:rsidR="005900C7" w:rsidTr="00D8370F">
        <w:trPr>
          <w:jc w:val="center"/>
        </w:trPr>
        <w:tc>
          <w:tcPr>
            <w:tcW w:w="2437" w:type="dxa"/>
          </w:tcPr>
          <w:p w:rsidR="005900C7" w:rsidP="00D8370F" w:rsidRDefault="005900C7">
            <w:r>
              <w:t>East Midlands</w:t>
            </w:r>
          </w:p>
        </w:tc>
        <w:tc>
          <w:tcPr>
            <w:tcW w:w="1459" w:type="dxa"/>
          </w:tcPr>
          <w:p w:rsidR="005900C7" w:rsidP="00D8370F" w:rsidRDefault="005900C7">
            <w:pPr>
              <w:jc w:val="right"/>
            </w:pPr>
            <w:r>
              <w:t>94.6</w:t>
            </w:r>
          </w:p>
        </w:tc>
        <w:tc>
          <w:tcPr>
            <w:tcW w:w="1460" w:type="dxa"/>
          </w:tcPr>
          <w:p w:rsidR="005900C7" w:rsidP="00D8370F" w:rsidRDefault="005900C7">
            <w:pPr>
              <w:jc w:val="right"/>
            </w:pPr>
            <w:r>
              <w:t>71.5</w:t>
            </w:r>
          </w:p>
        </w:tc>
        <w:tc>
          <w:tcPr>
            <w:tcW w:w="1459" w:type="dxa"/>
          </w:tcPr>
          <w:p w:rsidR="005900C7" w:rsidP="00D8370F" w:rsidRDefault="005900C7">
            <w:pPr>
              <w:jc w:val="right"/>
            </w:pPr>
            <w:r>
              <w:t>86.6</w:t>
            </w:r>
          </w:p>
        </w:tc>
        <w:tc>
          <w:tcPr>
            <w:tcW w:w="1460" w:type="dxa"/>
          </w:tcPr>
          <w:p w:rsidR="005900C7" w:rsidP="00D8370F" w:rsidRDefault="005900C7">
            <w:pPr>
              <w:jc w:val="right"/>
            </w:pPr>
            <w:r>
              <w:t>72.3</w:t>
            </w:r>
          </w:p>
        </w:tc>
      </w:tr>
      <w:tr w:rsidR="005900C7" w:rsidTr="00D8370F">
        <w:trPr>
          <w:jc w:val="center"/>
        </w:trPr>
        <w:tc>
          <w:tcPr>
            <w:tcW w:w="2437" w:type="dxa"/>
          </w:tcPr>
          <w:p w:rsidR="005900C7" w:rsidP="00D8370F" w:rsidRDefault="005900C7">
            <w:r>
              <w:t>West Midlands</w:t>
            </w:r>
          </w:p>
        </w:tc>
        <w:tc>
          <w:tcPr>
            <w:tcW w:w="1459" w:type="dxa"/>
          </w:tcPr>
          <w:p w:rsidR="005900C7" w:rsidP="00D8370F" w:rsidRDefault="005900C7">
            <w:pPr>
              <w:jc w:val="right"/>
            </w:pPr>
            <w:r>
              <w:t>78.7</w:t>
            </w:r>
          </w:p>
        </w:tc>
        <w:tc>
          <w:tcPr>
            <w:tcW w:w="1460" w:type="dxa"/>
          </w:tcPr>
          <w:p w:rsidR="005900C7" w:rsidP="00D8370F" w:rsidRDefault="005900C7">
            <w:pPr>
              <w:jc w:val="right"/>
            </w:pPr>
            <w:r>
              <w:t>76.0</w:t>
            </w:r>
          </w:p>
        </w:tc>
        <w:tc>
          <w:tcPr>
            <w:tcW w:w="1459" w:type="dxa"/>
          </w:tcPr>
          <w:p w:rsidR="005900C7" w:rsidP="00D8370F" w:rsidRDefault="005900C7">
            <w:pPr>
              <w:jc w:val="right"/>
            </w:pPr>
            <w:r>
              <w:t>72.1</w:t>
            </w:r>
          </w:p>
        </w:tc>
        <w:tc>
          <w:tcPr>
            <w:tcW w:w="1460" w:type="dxa"/>
          </w:tcPr>
          <w:p w:rsidR="005900C7" w:rsidP="00D8370F" w:rsidRDefault="005900C7">
            <w:pPr>
              <w:jc w:val="right"/>
            </w:pPr>
            <w:r>
              <w:t>74.4</w:t>
            </w:r>
          </w:p>
        </w:tc>
      </w:tr>
      <w:tr w:rsidR="005900C7" w:rsidTr="00D8370F">
        <w:trPr>
          <w:jc w:val="center"/>
        </w:trPr>
        <w:tc>
          <w:tcPr>
            <w:tcW w:w="2437" w:type="dxa"/>
          </w:tcPr>
          <w:p w:rsidR="005900C7" w:rsidP="00D8370F" w:rsidRDefault="005900C7">
            <w:r>
              <w:t>Eastern</w:t>
            </w:r>
          </w:p>
        </w:tc>
        <w:tc>
          <w:tcPr>
            <w:tcW w:w="1459" w:type="dxa"/>
          </w:tcPr>
          <w:p w:rsidR="005900C7" w:rsidP="00D8370F" w:rsidRDefault="005900C7">
            <w:pPr>
              <w:jc w:val="right"/>
            </w:pPr>
            <w:r>
              <w:t>128.7</w:t>
            </w:r>
          </w:p>
        </w:tc>
        <w:tc>
          <w:tcPr>
            <w:tcW w:w="1460" w:type="dxa"/>
          </w:tcPr>
          <w:p w:rsidR="005900C7" w:rsidP="00D8370F" w:rsidRDefault="005900C7">
            <w:pPr>
              <w:jc w:val="right"/>
            </w:pPr>
            <w:r>
              <w:t>108.3</w:t>
            </w:r>
          </w:p>
        </w:tc>
        <w:tc>
          <w:tcPr>
            <w:tcW w:w="1459" w:type="dxa"/>
          </w:tcPr>
          <w:p w:rsidR="005900C7" w:rsidP="00D8370F" w:rsidRDefault="005900C7">
            <w:pPr>
              <w:jc w:val="right"/>
            </w:pPr>
            <w:r>
              <w:t>79.5</w:t>
            </w:r>
          </w:p>
        </w:tc>
        <w:tc>
          <w:tcPr>
            <w:tcW w:w="1460" w:type="dxa"/>
          </w:tcPr>
          <w:p w:rsidR="005900C7" w:rsidP="00D8370F" w:rsidRDefault="005900C7">
            <w:pPr>
              <w:jc w:val="right"/>
            </w:pPr>
            <w:r>
              <w:t>117.3</w:t>
            </w:r>
          </w:p>
        </w:tc>
      </w:tr>
      <w:tr w:rsidR="005900C7" w:rsidTr="00D8370F">
        <w:trPr>
          <w:jc w:val="center"/>
        </w:trPr>
        <w:tc>
          <w:tcPr>
            <w:tcW w:w="2437" w:type="dxa"/>
          </w:tcPr>
          <w:p w:rsidR="005900C7" w:rsidP="00D8370F" w:rsidRDefault="005900C7">
            <w:r>
              <w:t>London</w:t>
            </w:r>
          </w:p>
        </w:tc>
        <w:tc>
          <w:tcPr>
            <w:tcW w:w="1459" w:type="dxa"/>
          </w:tcPr>
          <w:p w:rsidR="005900C7" w:rsidP="00D8370F" w:rsidRDefault="005900C7">
            <w:pPr>
              <w:jc w:val="right"/>
            </w:pPr>
            <w:r>
              <w:t>57.7</w:t>
            </w:r>
          </w:p>
        </w:tc>
        <w:tc>
          <w:tcPr>
            <w:tcW w:w="1460" w:type="dxa"/>
          </w:tcPr>
          <w:p w:rsidR="005900C7" w:rsidP="00D8370F" w:rsidRDefault="005900C7">
            <w:pPr>
              <w:jc w:val="right"/>
            </w:pPr>
            <w:r>
              <w:t>48.0</w:t>
            </w:r>
          </w:p>
        </w:tc>
        <w:tc>
          <w:tcPr>
            <w:tcW w:w="1459" w:type="dxa"/>
          </w:tcPr>
          <w:p w:rsidR="005900C7" w:rsidP="00D8370F" w:rsidRDefault="005900C7">
            <w:pPr>
              <w:jc w:val="right"/>
            </w:pPr>
            <w:r>
              <w:t>29.3</w:t>
            </w:r>
          </w:p>
        </w:tc>
        <w:tc>
          <w:tcPr>
            <w:tcW w:w="1460" w:type="dxa"/>
          </w:tcPr>
          <w:p w:rsidR="005900C7" w:rsidP="00D8370F" w:rsidRDefault="005900C7">
            <w:pPr>
              <w:jc w:val="right"/>
            </w:pPr>
            <w:r>
              <w:t>71.9</w:t>
            </w:r>
          </w:p>
        </w:tc>
      </w:tr>
      <w:tr w:rsidR="005900C7" w:rsidTr="00D8370F">
        <w:trPr>
          <w:jc w:val="center"/>
        </w:trPr>
        <w:tc>
          <w:tcPr>
            <w:tcW w:w="2437" w:type="dxa"/>
          </w:tcPr>
          <w:p w:rsidR="005900C7" w:rsidP="00D8370F" w:rsidRDefault="005900C7">
            <w:r>
              <w:t>South East</w:t>
            </w:r>
          </w:p>
        </w:tc>
        <w:tc>
          <w:tcPr>
            <w:tcW w:w="1459" w:type="dxa"/>
          </w:tcPr>
          <w:p w:rsidR="005900C7" w:rsidP="00D8370F" w:rsidRDefault="005900C7">
            <w:pPr>
              <w:jc w:val="right"/>
            </w:pPr>
            <w:r>
              <w:t>129.9</w:t>
            </w:r>
          </w:p>
        </w:tc>
        <w:tc>
          <w:tcPr>
            <w:tcW w:w="1460" w:type="dxa"/>
          </w:tcPr>
          <w:p w:rsidR="005900C7" w:rsidP="00D8370F" w:rsidRDefault="005900C7">
            <w:pPr>
              <w:jc w:val="right"/>
            </w:pPr>
            <w:r>
              <w:t>97.1</w:t>
            </w:r>
          </w:p>
        </w:tc>
        <w:tc>
          <w:tcPr>
            <w:tcW w:w="1459" w:type="dxa"/>
          </w:tcPr>
          <w:p w:rsidR="005900C7" w:rsidP="00D8370F" w:rsidRDefault="005900C7">
            <w:pPr>
              <w:jc w:val="right"/>
            </w:pPr>
            <w:r>
              <w:t>82.9</w:t>
            </w:r>
          </w:p>
        </w:tc>
        <w:tc>
          <w:tcPr>
            <w:tcW w:w="1460" w:type="dxa"/>
          </w:tcPr>
          <w:p w:rsidR="005900C7" w:rsidP="00D8370F" w:rsidRDefault="005900C7">
            <w:pPr>
              <w:jc w:val="right"/>
            </w:pPr>
            <w:r>
              <w:t>106.9</w:t>
            </w:r>
          </w:p>
        </w:tc>
      </w:tr>
      <w:tr w:rsidR="005900C7" w:rsidTr="00D8370F">
        <w:trPr>
          <w:jc w:val="center"/>
        </w:trPr>
        <w:tc>
          <w:tcPr>
            <w:tcW w:w="2437" w:type="dxa"/>
          </w:tcPr>
          <w:p w:rsidR="005900C7" w:rsidP="00D8370F" w:rsidRDefault="005900C7">
            <w:r>
              <w:t>South West</w:t>
            </w:r>
          </w:p>
        </w:tc>
        <w:tc>
          <w:tcPr>
            <w:tcW w:w="1459" w:type="dxa"/>
          </w:tcPr>
          <w:p w:rsidR="005900C7" w:rsidP="00D8370F" w:rsidRDefault="005900C7">
            <w:pPr>
              <w:jc w:val="right"/>
            </w:pPr>
            <w:r>
              <w:t>133.0</w:t>
            </w:r>
          </w:p>
        </w:tc>
        <w:tc>
          <w:tcPr>
            <w:tcW w:w="1460" w:type="dxa"/>
          </w:tcPr>
          <w:p w:rsidR="005900C7" w:rsidP="00D8370F" w:rsidRDefault="005900C7">
            <w:pPr>
              <w:jc w:val="right"/>
            </w:pPr>
            <w:r>
              <w:t>99.1</w:t>
            </w:r>
          </w:p>
        </w:tc>
        <w:tc>
          <w:tcPr>
            <w:tcW w:w="1459" w:type="dxa"/>
          </w:tcPr>
          <w:p w:rsidR="005900C7" w:rsidP="00D8370F" w:rsidRDefault="005900C7">
            <w:pPr>
              <w:jc w:val="right"/>
            </w:pPr>
            <w:r>
              <w:t>118.0</w:t>
            </w:r>
          </w:p>
        </w:tc>
        <w:tc>
          <w:tcPr>
            <w:tcW w:w="1460" w:type="dxa"/>
          </w:tcPr>
          <w:p w:rsidR="005900C7" w:rsidP="00D8370F" w:rsidRDefault="005900C7">
            <w:pPr>
              <w:jc w:val="right"/>
            </w:pPr>
            <w:r>
              <w:t>104.3</w:t>
            </w:r>
          </w:p>
        </w:tc>
      </w:tr>
      <w:tr w:rsidR="005900C7" w:rsidTr="00D8370F">
        <w:trPr>
          <w:jc w:val="center"/>
        </w:trPr>
        <w:tc>
          <w:tcPr>
            <w:tcW w:w="2437" w:type="dxa"/>
          </w:tcPr>
          <w:p w:rsidR="005900C7" w:rsidP="00D8370F" w:rsidRDefault="005900C7">
            <w:r>
              <w:t>Wales</w:t>
            </w:r>
          </w:p>
        </w:tc>
        <w:tc>
          <w:tcPr>
            <w:tcW w:w="1459" w:type="dxa"/>
          </w:tcPr>
          <w:p w:rsidR="005900C7" w:rsidP="00D8370F" w:rsidRDefault="005900C7">
            <w:pPr>
              <w:jc w:val="right"/>
            </w:pPr>
            <w:r>
              <w:t>97.6</w:t>
            </w:r>
          </w:p>
        </w:tc>
        <w:tc>
          <w:tcPr>
            <w:tcW w:w="1460" w:type="dxa"/>
          </w:tcPr>
          <w:p w:rsidR="005900C7" w:rsidP="00D8370F" w:rsidRDefault="005900C7">
            <w:pPr>
              <w:jc w:val="right"/>
            </w:pPr>
            <w:r>
              <w:t>68.2</w:t>
            </w:r>
          </w:p>
        </w:tc>
        <w:tc>
          <w:tcPr>
            <w:tcW w:w="1459" w:type="dxa"/>
          </w:tcPr>
          <w:p w:rsidR="005900C7" w:rsidP="00D8370F" w:rsidRDefault="005900C7">
            <w:pPr>
              <w:jc w:val="right"/>
            </w:pPr>
            <w:r>
              <w:t>74.8</w:t>
            </w:r>
          </w:p>
        </w:tc>
        <w:tc>
          <w:tcPr>
            <w:tcW w:w="1460" w:type="dxa"/>
          </w:tcPr>
          <w:p w:rsidR="005900C7" w:rsidP="00D8370F" w:rsidRDefault="005900C7">
            <w:pPr>
              <w:jc w:val="right"/>
            </w:pPr>
            <w:r>
              <w:t>59.7</w:t>
            </w:r>
          </w:p>
        </w:tc>
      </w:tr>
      <w:tr w:rsidR="005900C7" w:rsidTr="00D8370F">
        <w:trPr>
          <w:jc w:val="center"/>
        </w:trPr>
        <w:tc>
          <w:tcPr>
            <w:tcW w:w="2437" w:type="dxa"/>
          </w:tcPr>
          <w:p w:rsidR="005900C7" w:rsidP="00D8370F" w:rsidRDefault="005900C7">
            <w:r>
              <w:t>Scotland</w:t>
            </w:r>
          </w:p>
        </w:tc>
        <w:tc>
          <w:tcPr>
            <w:tcW w:w="1459" w:type="dxa"/>
          </w:tcPr>
          <w:p w:rsidR="005900C7" w:rsidP="00D8370F" w:rsidRDefault="005900C7">
            <w:pPr>
              <w:jc w:val="right"/>
            </w:pPr>
            <w:r>
              <w:t>77.5</w:t>
            </w:r>
          </w:p>
        </w:tc>
        <w:tc>
          <w:tcPr>
            <w:tcW w:w="1460" w:type="dxa"/>
          </w:tcPr>
          <w:p w:rsidR="005900C7" w:rsidP="00D8370F" w:rsidRDefault="005900C7">
            <w:pPr>
              <w:jc w:val="right"/>
            </w:pPr>
            <w:r>
              <w:t>69.2</w:t>
            </w:r>
          </w:p>
        </w:tc>
        <w:tc>
          <w:tcPr>
            <w:tcW w:w="1459" w:type="dxa"/>
          </w:tcPr>
          <w:p w:rsidR="005900C7" w:rsidP="00D8370F" w:rsidRDefault="005900C7">
            <w:pPr>
              <w:jc w:val="right"/>
            </w:pPr>
            <w:r>
              <w:t>101.7</w:t>
            </w:r>
          </w:p>
        </w:tc>
        <w:tc>
          <w:tcPr>
            <w:tcW w:w="1460" w:type="dxa"/>
          </w:tcPr>
          <w:p w:rsidR="005900C7" w:rsidP="00D8370F" w:rsidRDefault="005900C7">
            <w:pPr>
              <w:jc w:val="right"/>
            </w:pPr>
            <w:r>
              <w:t>46.6</w:t>
            </w:r>
          </w:p>
        </w:tc>
      </w:tr>
      <w:tr w:rsidR="005900C7" w:rsidTr="00D8370F">
        <w:trPr>
          <w:jc w:val="center"/>
        </w:trPr>
        <w:tc>
          <w:tcPr>
            <w:tcW w:w="2437" w:type="dxa"/>
          </w:tcPr>
          <w:p w:rsidR="005900C7" w:rsidP="00D8370F" w:rsidRDefault="005900C7">
            <w:r>
              <w:t>Northern Ireland</w:t>
            </w:r>
          </w:p>
        </w:tc>
        <w:tc>
          <w:tcPr>
            <w:tcW w:w="1459" w:type="dxa"/>
          </w:tcPr>
          <w:p w:rsidR="005900C7" w:rsidP="00D8370F" w:rsidRDefault="005900C7">
            <w:pPr>
              <w:jc w:val="right"/>
            </w:pPr>
            <w:r>
              <w:t>98.7</w:t>
            </w:r>
          </w:p>
        </w:tc>
        <w:tc>
          <w:tcPr>
            <w:tcW w:w="1460" w:type="dxa"/>
            <w:tcBorders>
              <w:bottom w:val="single" w:color="auto" w:sz="4" w:space="0"/>
            </w:tcBorders>
          </w:tcPr>
          <w:p w:rsidR="005900C7" w:rsidP="00D8370F" w:rsidRDefault="005900C7">
            <w:pPr>
              <w:jc w:val="right"/>
            </w:pPr>
            <w:r>
              <w:t>85.9</w:t>
            </w:r>
          </w:p>
        </w:tc>
        <w:tc>
          <w:tcPr>
            <w:tcW w:w="1459" w:type="dxa"/>
            <w:tcBorders>
              <w:bottom w:val="single" w:color="auto" w:sz="4" w:space="0"/>
            </w:tcBorders>
          </w:tcPr>
          <w:p w:rsidR="005900C7" w:rsidP="00D8370F" w:rsidRDefault="005900C7">
            <w:pPr>
              <w:jc w:val="right"/>
            </w:pPr>
            <w:r>
              <w:t>50.2</w:t>
            </w:r>
          </w:p>
        </w:tc>
        <w:tc>
          <w:tcPr>
            <w:tcW w:w="1460" w:type="dxa"/>
          </w:tcPr>
          <w:p w:rsidR="005900C7" w:rsidP="00D8370F" w:rsidRDefault="005900C7">
            <w:pPr>
              <w:jc w:val="right"/>
            </w:pPr>
            <w:r>
              <w:t>77.4</w:t>
            </w:r>
          </w:p>
        </w:tc>
      </w:tr>
      <w:tr w:rsidR="005900C7" w:rsidTr="00D8370F">
        <w:trPr>
          <w:jc w:val="center"/>
        </w:trPr>
        <w:tc>
          <w:tcPr>
            <w:tcW w:w="2437" w:type="dxa"/>
          </w:tcPr>
          <w:p w:rsidRPr="001E28B2" w:rsidR="005900C7" w:rsidP="00D8370F" w:rsidRDefault="005900C7">
            <w:pPr>
              <w:rPr>
                <w:b/>
              </w:rPr>
            </w:pPr>
            <w:r>
              <w:rPr>
                <w:b/>
              </w:rPr>
              <w:t xml:space="preserve">Aggregate </w:t>
            </w:r>
            <w:r w:rsidRPr="001E28B2">
              <w:rPr>
                <w:b/>
              </w:rPr>
              <w:t>UK</w:t>
            </w:r>
          </w:p>
        </w:tc>
        <w:tc>
          <w:tcPr>
            <w:tcW w:w="1459" w:type="dxa"/>
          </w:tcPr>
          <w:p w:rsidRPr="001E28B2" w:rsidR="005900C7" w:rsidP="00D8370F" w:rsidRDefault="005900C7">
            <w:pPr>
              <w:jc w:val="right"/>
              <w:rPr>
                <w:b/>
              </w:rPr>
            </w:pPr>
            <w:r>
              <w:rPr>
                <w:b/>
              </w:rPr>
              <w:t>91.2</w:t>
            </w:r>
          </w:p>
        </w:tc>
        <w:tc>
          <w:tcPr>
            <w:tcW w:w="2919" w:type="dxa"/>
            <w:gridSpan w:val="2"/>
            <w:tcBorders>
              <w:right w:val="nil"/>
            </w:tcBorders>
          </w:tcPr>
          <w:p w:rsidRPr="001E28B2" w:rsidR="005900C7" w:rsidP="00D8370F" w:rsidRDefault="005900C7">
            <w:pPr>
              <w:jc w:val="right"/>
              <w:rPr>
                <w:b/>
              </w:rPr>
            </w:pPr>
            <w:r>
              <w:rPr>
                <w:b/>
              </w:rPr>
              <w:t>74.1</w:t>
            </w:r>
          </w:p>
        </w:tc>
        <w:tc>
          <w:tcPr>
            <w:tcW w:w="1460" w:type="dxa"/>
            <w:tcBorders>
              <w:left w:val="nil"/>
            </w:tcBorders>
          </w:tcPr>
          <w:p w:rsidR="005900C7" w:rsidP="00D8370F" w:rsidRDefault="005900C7">
            <w:pPr>
              <w:jc w:val="right"/>
              <w:rPr>
                <w:b/>
              </w:rPr>
            </w:pPr>
          </w:p>
        </w:tc>
      </w:tr>
    </w:tbl>
    <w:p w:rsidR="005900C7" w:rsidP="005900C7" w:rsidRDefault="005900C7">
      <w:pPr>
        <w:spacing w:after="0" w:line="240" w:lineRule="auto"/>
      </w:pPr>
    </w:p>
    <w:p w:rsidR="005900C7" w:rsidP="005900C7" w:rsidRDefault="005900C7">
      <w:pPr>
        <w:spacing w:after="0" w:line="240" w:lineRule="auto"/>
        <w:ind w:left="709" w:hanging="709"/>
        <w:jc w:val="both"/>
        <w:outlineLvl w:val="0"/>
      </w:pPr>
      <w:r w:rsidRPr="00603659">
        <w:rPr>
          <w:i/>
        </w:rPr>
        <w:t>Note</w:t>
      </w:r>
      <w:r>
        <w:t>:</w:t>
      </w:r>
      <w:r>
        <w:tab/>
        <w:t>all average distances moved to university are based upon the region of domicile.</w:t>
      </w:r>
    </w:p>
    <w:p w:rsidR="005900C7" w:rsidP="005900C7" w:rsidRDefault="005900C7">
      <w:pPr>
        <w:spacing w:after="0" w:line="240" w:lineRule="auto"/>
      </w:pPr>
    </w:p>
    <w:p w:rsidR="00AC6E8A" w:rsidP="00AC6E8A" w:rsidRDefault="00AC6E8A">
      <w:pPr>
        <w:spacing w:after="0" w:line="360" w:lineRule="auto"/>
        <w:jc w:val="both"/>
      </w:pPr>
      <w:r>
        <w:lastRenderedPageBreak/>
        <w:t xml:space="preserve">Table 3 switches from a regional focus to demonstrate how the proportion of students across the defined mobility categories </w:t>
      </w:r>
      <w:r w:rsidR="00EB022E">
        <w:t>varies</w:t>
      </w:r>
      <w:r>
        <w:t xml:space="preserve"> as the distance threshold </w:t>
      </w:r>
      <w:r w:rsidR="00EB022E">
        <w:t>increases</w:t>
      </w:r>
      <w:r>
        <w:t>. As anticipated, the proportion in each of the five categories is sensitive to the definition of distance. The proportion of non-movers rises as the distance threshold rises, and correspondingly the proportion in the non-returning double-mover category declines. Adopting</w:t>
      </w:r>
      <w:r w:rsidR="0074410D">
        <w:t xml:space="preserve"> three representative distances at </w:t>
      </w:r>
      <w:r>
        <w:t>25, 50 and 100km</w:t>
      </w:r>
      <w:r w:rsidR="0074410D">
        <w:t xml:space="preserve">, </w:t>
      </w:r>
      <w:r>
        <w:t>approximately one third of the sample are in each of these categories at the 25km threshold, whereas nearly two thirds (64.6%) are classified as non-movers at the 100km threshold.</w:t>
      </w:r>
      <w:r>
        <w:rPr>
          <w:rStyle w:val="EndnoteReference"/>
        </w:rPr>
        <w:endnoteReference w:id="13"/>
      </w:r>
      <w:r>
        <w:t xml:space="preserve"> At this level, only about one in five (17.8%) are non-returning double movers. Meanwhile, move-returners and stay-leavers are consistently the smallest movement categories and across the three representative distances there is little change in their proportions: at 25km they collectively account</w:t>
      </w:r>
      <w:r w:rsidR="00EB022E">
        <w:t xml:space="preserve"> for 12.3% of graduates; at 100</w:t>
      </w:r>
      <w:r>
        <w:t>km they account for 6.9%. Similarly, the remaining leave-stayer category is consistent across distance measures, accounting for over one in ten at all thresholds.</w:t>
      </w:r>
    </w:p>
    <w:p w:rsidR="00D04362" w:rsidP="001966B3" w:rsidRDefault="00D04362">
      <w:pPr>
        <w:spacing w:after="0" w:line="240" w:lineRule="auto"/>
        <w:outlineLvl w:val="0"/>
        <w:rPr>
          <w:b/>
        </w:rPr>
      </w:pPr>
    </w:p>
    <w:p w:rsidRPr="00C02B22" w:rsidR="005900C7" w:rsidP="005900C7" w:rsidRDefault="005900C7">
      <w:pPr>
        <w:spacing w:after="0" w:line="240" w:lineRule="auto"/>
        <w:jc w:val="center"/>
        <w:outlineLvl w:val="0"/>
        <w:rPr>
          <w:b/>
        </w:rPr>
      </w:pPr>
      <w:r>
        <w:rPr>
          <w:b/>
        </w:rPr>
        <w:t>Table 3</w:t>
      </w:r>
    </w:p>
    <w:p w:rsidRPr="00C02B22" w:rsidR="005900C7" w:rsidP="005900C7" w:rsidRDefault="005900C7">
      <w:pPr>
        <w:spacing w:after="0" w:line="240" w:lineRule="auto"/>
        <w:jc w:val="center"/>
        <w:rPr>
          <w:b/>
        </w:rPr>
      </w:pPr>
      <w:r w:rsidRPr="00C02B22">
        <w:rPr>
          <w:b/>
        </w:rPr>
        <w:t xml:space="preserve">Graduate </w:t>
      </w:r>
      <w:r>
        <w:rPr>
          <w:b/>
        </w:rPr>
        <w:t>Mobility Patterns</w:t>
      </w:r>
      <w:r w:rsidRPr="00C02B22">
        <w:rPr>
          <w:b/>
        </w:rPr>
        <w:t xml:space="preserve"> by </w:t>
      </w:r>
      <w:r>
        <w:rPr>
          <w:b/>
        </w:rPr>
        <w:t>Movement Thresholds (%s)</w:t>
      </w:r>
    </w:p>
    <w:p w:rsidR="005900C7" w:rsidP="005900C7" w:rsidRDefault="005900C7">
      <w:pPr>
        <w:spacing w:after="0" w:line="240" w:lineRule="auto"/>
      </w:pPr>
    </w:p>
    <w:tbl>
      <w:tblPr>
        <w:tblStyle w:val="TableGrid"/>
        <w:tblW w:w="7439" w:type="dxa"/>
        <w:jc w:val="center"/>
        <w:tblLook w:val="04A0" w:firstRow="1" w:lastRow="0" w:firstColumn="1" w:lastColumn="0" w:noHBand="0" w:noVBand="1"/>
      </w:tblPr>
      <w:tblGrid>
        <w:gridCol w:w="1283"/>
        <w:gridCol w:w="1170"/>
        <w:gridCol w:w="1118"/>
        <w:gridCol w:w="1114"/>
        <w:gridCol w:w="1134"/>
        <w:gridCol w:w="1620"/>
      </w:tblGrid>
      <w:tr w:rsidR="005900C7" w:rsidTr="00D8370F">
        <w:trPr>
          <w:jc w:val="center"/>
        </w:trPr>
        <w:tc>
          <w:tcPr>
            <w:tcW w:w="1283" w:type="dxa"/>
          </w:tcPr>
          <w:p w:rsidR="005900C7" w:rsidP="00D8370F" w:rsidRDefault="005900C7"/>
        </w:tc>
        <w:tc>
          <w:tcPr>
            <w:tcW w:w="1170" w:type="dxa"/>
          </w:tcPr>
          <w:p w:rsidRPr="0011377E" w:rsidR="005900C7" w:rsidP="00D8370F" w:rsidRDefault="005900C7">
            <w:pPr>
              <w:jc w:val="center"/>
              <w:rPr>
                <w:b/>
              </w:rPr>
            </w:pPr>
            <w:r>
              <w:rPr>
                <w:b/>
              </w:rPr>
              <w:t>Non-Movers</w:t>
            </w:r>
          </w:p>
        </w:tc>
        <w:tc>
          <w:tcPr>
            <w:tcW w:w="1118" w:type="dxa"/>
          </w:tcPr>
          <w:p w:rsidRPr="0011377E" w:rsidR="005900C7" w:rsidP="00D8370F" w:rsidRDefault="005900C7">
            <w:pPr>
              <w:jc w:val="center"/>
              <w:rPr>
                <w:b/>
              </w:rPr>
            </w:pPr>
            <w:r>
              <w:rPr>
                <w:b/>
              </w:rPr>
              <w:t>Move-Returners</w:t>
            </w:r>
          </w:p>
        </w:tc>
        <w:tc>
          <w:tcPr>
            <w:tcW w:w="1114" w:type="dxa"/>
          </w:tcPr>
          <w:p w:rsidR="005900C7" w:rsidP="00D8370F" w:rsidRDefault="005900C7">
            <w:pPr>
              <w:jc w:val="center"/>
              <w:rPr>
                <w:b/>
              </w:rPr>
            </w:pPr>
            <w:r>
              <w:rPr>
                <w:b/>
              </w:rPr>
              <w:t>Stay-</w:t>
            </w:r>
          </w:p>
          <w:p w:rsidRPr="0011377E" w:rsidR="005900C7" w:rsidP="00D8370F" w:rsidRDefault="005900C7">
            <w:pPr>
              <w:jc w:val="center"/>
              <w:rPr>
                <w:b/>
              </w:rPr>
            </w:pPr>
            <w:r>
              <w:rPr>
                <w:b/>
              </w:rPr>
              <w:t>Leavers</w:t>
            </w:r>
          </w:p>
        </w:tc>
        <w:tc>
          <w:tcPr>
            <w:tcW w:w="1134" w:type="dxa"/>
          </w:tcPr>
          <w:p w:rsidR="005900C7" w:rsidP="00D8370F" w:rsidRDefault="005900C7">
            <w:pPr>
              <w:jc w:val="center"/>
              <w:rPr>
                <w:b/>
              </w:rPr>
            </w:pPr>
            <w:r>
              <w:rPr>
                <w:b/>
              </w:rPr>
              <w:t>Leave-</w:t>
            </w:r>
          </w:p>
          <w:p w:rsidR="005900C7" w:rsidP="00D8370F" w:rsidRDefault="005900C7">
            <w:pPr>
              <w:jc w:val="center"/>
              <w:rPr>
                <w:b/>
              </w:rPr>
            </w:pPr>
            <w:r>
              <w:rPr>
                <w:b/>
              </w:rPr>
              <w:t>Stayers</w:t>
            </w:r>
          </w:p>
        </w:tc>
        <w:tc>
          <w:tcPr>
            <w:tcW w:w="1620" w:type="dxa"/>
          </w:tcPr>
          <w:p w:rsidRPr="00EF1D78" w:rsidR="005900C7" w:rsidP="00D8370F" w:rsidRDefault="005900C7">
            <w:pPr>
              <w:jc w:val="center"/>
              <w:rPr>
                <w:b/>
                <w:sz w:val="21"/>
                <w:szCs w:val="21"/>
              </w:rPr>
            </w:pPr>
            <w:r w:rsidRPr="00EF1D78">
              <w:rPr>
                <w:b/>
                <w:sz w:val="21"/>
                <w:szCs w:val="21"/>
              </w:rPr>
              <w:t>No</w:t>
            </w:r>
            <w:r>
              <w:rPr>
                <w:b/>
                <w:sz w:val="21"/>
                <w:szCs w:val="21"/>
              </w:rPr>
              <w:t>n</w:t>
            </w:r>
            <w:r w:rsidRPr="00EF1D78">
              <w:rPr>
                <w:b/>
                <w:sz w:val="21"/>
                <w:szCs w:val="21"/>
              </w:rPr>
              <w:t>-Return</w:t>
            </w:r>
            <w:r>
              <w:rPr>
                <w:b/>
                <w:sz w:val="21"/>
                <w:szCs w:val="21"/>
              </w:rPr>
              <w:t>ing</w:t>
            </w:r>
            <w:r w:rsidRPr="00EF1D78">
              <w:rPr>
                <w:b/>
                <w:sz w:val="21"/>
                <w:szCs w:val="21"/>
              </w:rPr>
              <w:t xml:space="preserve"> </w:t>
            </w:r>
            <w:r>
              <w:rPr>
                <w:b/>
                <w:sz w:val="21"/>
                <w:szCs w:val="21"/>
              </w:rPr>
              <w:t>Double-</w:t>
            </w:r>
            <w:r w:rsidRPr="00EF1D78">
              <w:rPr>
                <w:b/>
                <w:sz w:val="21"/>
                <w:szCs w:val="21"/>
              </w:rPr>
              <w:t>Movers</w:t>
            </w:r>
          </w:p>
        </w:tc>
      </w:tr>
      <w:tr w:rsidR="005900C7" w:rsidTr="00D8370F">
        <w:trPr>
          <w:jc w:val="center"/>
        </w:trPr>
        <w:tc>
          <w:tcPr>
            <w:tcW w:w="1283" w:type="dxa"/>
          </w:tcPr>
          <w:p w:rsidRPr="00ED2970" w:rsidR="005900C7" w:rsidP="00D8370F" w:rsidRDefault="005900C7">
            <w:r w:rsidRPr="00ED2970">
              <w:t>5</w:t>
            </w:r>
            <w:r>
              <w:t>km</w:t>
            </w:r>
          </w:p>
        </w:tc>
        <w:tc>
          <w:tcPr>
            <w:tcW w:w="1170" w:type="dxa"/>
          </w:tcPr>
          <w:p w:rsidRPr="00ED2970" w:rsidR="005900C7" w:rsidP="00D8370F" w:rsidRDefault="005900C7">
            <w:pPr>
              <w:jc w:val="right"/>
            </w:pPr>
            <w:r>
              <w:t>4.2</w:t>
            </w:r>
          </w:p>
        </w:tc>
        <w:tc>
          <w:tcPr>
            <w:tcW w:w="1118" w:type="dxa"/>
          </w:tcPr>
          <w:p w:rsidRPr="00ED2970" w:rsidR="005900C7" w:rsidP="00D8370F" w:rsidRDefault="005900C7">
            <w:pPr>
              <w:jc w:val="right"/>
            </w:pPr>
            <w:r>
              <w:t>10.8</w:t>
            </w:r>
          </w:p>
        </w:tc>
        <w:tc>
          <w:tcPr>
            <w:tcW w:w="1114" w:type="dxa"/>
          </w:tcPr>
          <w:p w:rsidRPr="00ED2970" w:rsidR="005900C7" w:rsidP="00D8370F" w:rsidRDefault="005900C7">
            <w:pPr>
              <w:jc w:val="right"/>
            </w:pPr>
            <w:r>
              <w:t>3.5</w:t>
            </w:r>
          </w:p>
        </w:tc>
        <w:tc>
          <w:tcPr>
            <w:tcW w:w="1134" w:type="dxa"/>
          </w:tcPr>
          <w:p w:rsidRPr="00ED2970" w:rsidR="005900C7" w:rsidP="00D8370F" w:rsidRDefault="005900C7">
            <w:pPr>
              <w:jc w:val="right"/>
            </w:pPr>
            <w:r>
              <w:t>15.4</w:t>
            </w:r>
          </w:p>
        </w:tc>
        <w:tc>
          <w:tcPr>
            <w:tcW w:w="1620" w:type="dxa"/>
          </w:tcPr>
          <w:p w:rsidRPr="00ED2970" w:rsidR="005900C7" w:rsidP="00D8370F" w:rsidRDefault="005900C7">
            <w:pPr>
              <w:jc w:val="right"/>
            </w:pPr>
            <w:r>
              <w:t>66.2</w:t>
            </w:r>
          </w:p>
        </w:tc>
      </w:tr>
      <w:tr w:rsidR="005900C7" w:rsidTr="00D8370F">
        <w:trPr>
          <w:jc w:val="center"/>
        </w:trPr>
        <w:tc>
          <w:tcPr>
            <w:tcW w:w="1283" w:type="dxa"/>
          </w:tcPr>
          <w:p w:rsidRPr="00ED2970" w:rsidR="005900C7" w:rsidP="00D8370F" w:rsidRDefault="005900C7">
            <w:r w:rsidRPr="00ED2970">
              <w:t>10</w:t>
            </w:r>
            <w:r>
              <w:t>km</w:t>
            </w:r>
          </w:p>
        </w:tc>
        <w:tc>
          <w:tcPr>
            <w:tcW w:w="1170" w:type="dxa"/>
          </w:tcPr>
          <w:p w:rsidRPr="00ED2970" w:rsidR="005900C7" w:rsidP="00D8370F" w:rsidRDefault="005900C7">
            <w:pPr>
              <w:jc w:val="right"/>
            </w:pPr>
            <w:r>
              <w:t>12.3</w:t>
            </w:r>
          </w:p>
        </w:tc>
        <w:tc>
          <w:tcPr>
            <w:tcW w:w="1118" w:type="dxa"/>
          </w:tcPr>
          <w:p w:rsidRPr="00ED2970" w:rsidR="005900C7" w:rsidP="00D8370F" w:rsidRDefault="005900C7">
            <w:pPr>
              <w:jc w:val="right"/>
            </w:pPr>
            <w:r>
              <w:t>9.7</w:t>
            </w:r>
          </w:p>
        </w:tc>
        <w:tc>
          <w:tcPr>
            <w:tcW w:w="1114" w:type="dxa"/>
          </w:tcPr>
          <w:p w:rsidRPr="00ED2970" w:rsidR="005900C7" w:rsidP="00D8370F" w:rsidRDefault="005900C7">
            <w:pPr>
              <w:jc w:val="right"/>
            </w:pPr>
            <w:r>
              <w:t>5.6</w:t>
            </w:r>
          </w:p>
        </w:tc>
        <w:tc>
          <w:tcPr>
            <w:tcW w:w="1134" w:type="dxa"/>
          </w:tcPr>
          <w:p w:rsidRPr="00ED2970" w:rsidR="005900C7" w:rsidP="00D8370F" w:rsidRDefault="005900C7">
            <w:pPr>
              <w:jc w:val="right"/>
            </w:pPr>
            <w:r>
              <w:t>17.8</w:t>
            </w:r>
          </w:p>
        </w:tc>
        <w:tc>
          <w:tcPr>
            <w:tcW w:w="1620" w:type="dxa"/>
          </w:tcPr>
          <w:p w:rsidRPr="00ED2970" w:rsidR="005900C7" w:rsidP="00D8370F" w:rsidRDefault="005900C7">
            <w:pPr>
              <w:jc w:val="right"/>
            </w:pPr>
            <w:r>
              <w:t>54.6</w:t>
            </w:r>
          </w:p>
        </w:tc>
      </w:tr>
      <w:tr w:rsidR="005900C7" w:rsidTr="00D8370F">
        <w:trPr>
          <w:jc w:val="center"/>
        </w:trPr>
        <w:tc>
          <w:tcPr>
            <w:tcW w:w="1283" w:type="dxa"/>
          </w:tcPr>
          <w:p w:rsidRPr="00ED2970" w:rsidR="005900C7" w:rsidP="00D8370F" w:rsidRDefault="005900C7">
            <w:r w:rsidRPr="00ED2970">
              <w:t>15</w:t>
            </w:r>
            <w:r>
              <w:t>km</w:t>
            </w:r>
          </w:p>
        </w:tc>
        <w:tc>
          <w:tcPr>
            <w:tcW w:w="1170" w:type="dxa"/>
          </w:tcPr>
          <w:p w:rsidRPr="00ED2970" w:rsidR="005900C7" w:rsidP="00D8370F" w:rsidRDefault="005900C7">
            <w:pPr>
              <w:jc w:val="right"/>
            </w:pPr>
            <w:r>
              <w:t xml:space="preserve"> 21.3</w:t>
            </w:r>
          </w:p>
        </w:tc>
        <w:tc>
          <w:tcPr>
            <w:tcW w:w="1118" w:type="dxa"/>
          </w:tcPr>
          <w:p w:rsidRPr="00ED2970" w:rsidR="005900C7" w:rsidP="00D8370F" w:rsidRDefault="005900C7">
            <w:pPr>
              <w:jc w:val="right"/>
            </w:pPr>
            <w:r>
              <w:t>8.8</w:t>
            </w:r>
          </w:p>
        </w:tc>
        <w:tc>
          <w:tcPr>
            <w:tcW w:w="1114" w:type="dxa"/>
          </w:tcPr>
          <w:p w:rsidRPr="00ED2970" w:rsidR="005900C7" w:rsidP="00D8370F" w:rsidRDefault="005900C7">
            <w:pPr>
              <w:jc w:val="right"/>
            </w:pPr>
            <w:r>
              <w:t>5.6</w:t>
            </w:r>
          </w:p>
        </w:tc>
        <w:tc>
          <w:tcPr>
            <w:tcW w:w="1134" w:type="dxa"/>
          </w:tcPr>
          <w:p w:rsidRPr="00ED2970" w:rsidR="005900C7" w:rsidP="00D8370F" w:rsidRDefault="005900C7">
            <w:pPr>
              <w:jc w:val="right"/>
            </w:pPr>
            <w:r>
              <w:t>17.4</w:t>
            </w:r>
          </w:p>
        </w:tc>
        <w:tc>
          <w:tcPr>
            <w:tcW w:w="1620" w:type="dxa"/>
          </w:tcPr>
          <w:p w:rsidRPr="00ED2970" w:rsidR="005900C7" w:rsidP="00D8370F" w:rsidRDefault="005900C7">
            <w:pPr>
              <w:jc w:val="right"/>
            </w:pPr>
            <w:r>
              <w:t>46.9</w:t>
            </w:r>
          </w:p>
        </w:tc>
      </w:tr>
      <w:tr w:rsidR="005900C7" w:rsidTr="00D8370F">
        <w:trPr>
          <w:jc w:val="center"/>
        </w:trPr>
        <w:tc>
          <w:tcPr>
            <w:tcW w:w="1283" w:type="dxa"/>
          </w:tcPr>
          <w:p w:rsidRPr="00ED2970" w:rsidR="005900C7" w:rsidP="00D8370F" w:rsidRDefault="005900C7">
            <w:r w:rsidRPr="00ED2970">
              <w:t>20</w:t>
            </w:r>
            <w:r>
              <w:t>km</w:t>
            </w:r>
          </w:p>
        </w:tc>
        <w:tc>
          <w:tcPr>
            <w:tcW w:w="1170" w:type="dxa"/>
          </w:tcPr>
          <w:p w:rsidRPr="00ED2970" w:rsidR="005900C7" w:rsidP="00D8370F" w:rsidRDefault="005900C7">
            <w:pPr>
              <w:jc w:val="right"/>
            </w:pPr>
            <w:r>
              <w:t>28.6</w:t>
            </w:r>
          </w:p>
        </w:tc>
        <w:tc>
          <w:tcPr>
            <w:tcW w:w="1118" w:type="dxa"/>
          </w:tcPr>
          <w:p w:rsidRPr="00ED2970" w:rsidR="005900C7" w:rsidP="00D8370F" w:rsidRDefault="005900C7">
            <w:pPr>
              <w:jc w:val="right"/>
            </w:pPr>
            <w:r>
              <w:t>8.0</w:t>
            </w:r>
          </w:p>
        </w:tc>
        <w:tc>
          <w:tcPr>
            <w:tcW w:w="1114" w:type="dxa"/>
          </w:tcPr>
          <w:p w:rsidRPr="00ED2970" w:rsidR="005900C7" w:rsidP="00D8370F" w:rsidRDefault="005900C7">
            <w:pPr>
              <w:jc w:val="right"/>
            </w:pPr>
            <w:r>
              <w:t>5.2</w:t>
            </w:r>
          </w:p>
        </w:tc>
        <w:tc>
          <w:tcPr>
            <w:tcW w:w="1134" w:type="dxa"/>
          </w:tcPr>
          <w:p w:rsidRPr="00ED2970" w:rsidR="005900C7" w:rsidP="00D8370F" w:rsidRDefault="005900C7">
            <w:pPr>
              <w:jc w:val="right"/>
            </w:pPr>
            <w:r>
              <w:t>16.2</w:t>
            </w:r>
          </w:p>
        </w:tc>
        <w:tc>
          <w:tcPr>
            <w:tcW w:w="1620" w:type="dxa"/>
          </w:tcPr>
          <w:p w:rsidRPr="00ED2970" w:rsidR="005900C7" w:rsidP="00D8370F" w:rsidRDefault="005900C7">
            <w:pPr>
              <w:jc w:val="right"/>
            </w:pPr>
            <w:r>
              <w:t>42.1</w:t>
            </w:r>
          </w:p>
        </w:tc>
      </w:tr>
      <w:tr w:rsidR="005900C7" w:rsidTr="00D8370F">
        <w:trPr>
          <w:jc w:val="center"/>
        </w:trPr>
        <w:tc>
          <w:tcPr>
            <w:tcW w:w="1283" w:type="dxa"/>
          </w:tcPr>
          <w:p w:rsidRPr="00ED2970" w:rsidR="005900C7" w:rsidP="00D8370F" w:rsidRDefault="005900C7">
            <w:r w:rsidRPr="00ED2970">
              <w:t>25</w:t>
            </w:r>
            <w:r>
              <w:t>km</w:t>
            </w:r>
          </w:p>
        </w:tc>
        <w:tc>
          <w:tcPr>
            <w:tcW w:w="1170" w:type="dxa"/>
          </w:tcPr>
          <w:p w:rsidRPr="00ED2970" w:rsidR="005900C7" w:rsidP="00D8370F" w:rsidRDefault="005900C7">
            <w:pPr>
              <w:jc w:val="right"/>
            </w:pPr>
            <w:r>
              <w:t>33.6</w:t>
            </w:r>
          </w:p>
        </w:tc>
        <w:tc>
          <w:tcPr>
            <w:tcW w:w="1118" w:type="dxa"/>
          </w:tcPr>
          <w:p w:rsidRPr="00ED2970" w:rsidR="005900C7" w:rsidP="00D8370F" w:rsidRDefault="005900C7">
            <w:pPr>
              <w:jc w:val="right"/>
            </w:pPr>
            <w:r>
              <w:t>7.4</w:t>
            </w:r>
          </w:p>
        </w:tc>
        <w:tc>
          <w:tcPr>
            <w:tcW w:w="1114" w:type="dxa"/>
          </w:tcPr>
          <w:p w:rsidRPr="00ED2970" w:rsidR="005900C7" w:rsidP="00D8370F" w:rsidRDefault="005900C7">
            <w:pPr>
              <w:jc w:val="right"/>
            </w:pPr>
            <w:r>
              <w:t>4.9</w:t>
            </w:r>
          </w:p>
        </w:tc>
        <w:tc>
          <w:tcPr>
            <w:tcW w:w="1134" w:type="dxa"/>
          </w:tcPr>
          <w:p w:rsidRPr="00ED2970" w:rsidR="005900C7" w:rsidP="00D8370F" w:rsidRDefault="005900C7">
            <w:pPr>
              <w:jc w:val="right"/>
            </w:pPr>
            <w:r>
              <w:t>15.2</w:t>
            </w:r>
          </w:p>
        </w:tc>
        <w:tc>
          <w:tcPr>
            <w:tcW w:w="1620" w:type="dxa"/>
          </w:tcPr>
          <w:p w:rsidRPr="00ED2970" w:rsidR="005900C7" w:rsidP="00D8370F" w:rsidRDefault="005900C7">
            <w:pPr>
              <w:jc w:val="right"/>
            </w:pPr>
            <w:r>
              <w:t>39.0</w:t>
            </w:r>
          </w:p>
        </w:tc>
      </w:tr>
      <w:tr w:rsidR="005900C7" w:rsidTr="00D8370F">
        <w:trPr>
          <w:jc w:val="center"/>
        </w:trPr>
        <w:tc>
          <w:tcPr>
            <w:tcW w:w="1283" w:type="dxa"/>
          </w:tcPr>
          <w:p w:rsidRPr="00ED2970" w:rsidR="005900C7" w:rsidP="00D8370F" w:rsidRDefault="005900C7">
            <w:r w:rsidRPr="00ED2970">
              <w:t>30</w:t>
            </w:r>
            <w:r>
              <w:t>km</w:t>
            </w:r>
          </w:p>
        </w:tc>
        <w:tc>
          <w:tcPr>
            <w:tcW w:w="1170" w:type="dxa"/>
          </w:tcPr>
          <w:p w:rsidRPr="00ED2970" w:rsidR="005900C7" w:rsidP="00D8370F" w:rsidRDefault="005900C7">
            <w:pPr>
              <w:jc w:val="right"/>
            </w:pPr>
            <w:r>
              <w:t>37.0</w:t>
            </w:r>
          </w:p>
        </w:tc>
        <w:tc>
          <w:tcPr>
            <w:tcW w:w="1118" w:type="dxa"/>
          </w:tcPr>
          <w:p w:rsidRPr="00ED2970" w:rsidR="005900C7" w:rsidP="00D8370F" w:rsidRDefault="005900C7">
            <w:pPr>
              <w:jc w:val="right"/>
            </w:pPr>
            <w:r>
              <w:t>7.0</w:t>
            </w:r>
          </w:p>
        </w:tc>
        <w:tc>
          <w:tcPr>
            <w:tcW w:w="1114" w:type="dxa"/>
          </w:tcPr>
          <w:p w:rsidRPr="00ED2970" w:rsidR="005900C7" w:rsidP="00D8370F" w:rsidRDefault="005900C7">
            <w:pPr>
              <w:jc w:val="right"/>
            </w:pPr>
            <w:r>
              <w:t>5.0</w:t>
            </w:r>
          </w:p>
        </w:tc>
        <w:tc>
          <w:tcPr>
            <w:tcW w:w="1134" w:type="dxa"/>
          </w:tcPr>
          <w:p w:rsidRPr="00ED2970" w:rsidR="005900C7" w:rsidP="00D8370F" w:rsidRDefault="005900C7">
            <w:pPr>
              <w:jc w:val="right"/>
            </w:pPr>
            <w:r>
              <w:t>14.7</w:t>
            </w:r>
          </w:p>
        </w:tc>
        <w:tc>
          <w:tcPr>
            <w:tcW w:w="1620" w:type="dxa"/>
          </w:tcPr>
          <w:p w:rsidRPr="00ED2970" w:rsidR="005900C7" w:rsidP="00D8370F" w:rsidRDefault="005900C7">
            <w:pPr>
              <w:jc w:val="right"/>
            </w:pPr>
            <w:r>
              <w:t>36.4</w:t>
            </w:r>
          </w:p>
        </w:tc>
      </w:tr>
      <w:tr w:rsidR="005900C7" w:rsidTr="00D8370F">
        <w:trPr>
          <w:jc w:val="center"/>
        </w:trPr>
        <w:tc>
          <w:tcPr>
            <w:tcW w:w="1283" w:type="dxa"/>
          </w:tcPr>
          <w:p w:rsidRPr="00ED2970" w:rsidR="005900C7" w:rsidP="00D8370F" w:rsidRDefault="005900C7">
            <w:r w:rsidRPr="00ED2970">
              <w:t>35</w:t>
            </w:r>
            <w:r>
              <w:t>km</w:t>
            </w:r>
          </w:p>
        </w:tc>
        <w:tc>
          <w:tcPr>
            <w:tcW w:w="1170" w:type="dxa"/>
          </w:tcPr>
          <w:p w:rsidRPr="00ED2970" w:rsidR="005900C7" w:rsidP="00D8370F" w:rsidRDefault="005900C7">
            <w:pPr>
              <w:jc w:val="right"/>
            </w:pPr>
            <w:r>
              <w:t>39.7</w:t>
            </w:r>
          </w:p>
        </w:tc>
        <w:tc>
          <w:tcPr>
            <w:tcW w:w="1118" w:type="dxa"/>
          </w:tcPr>
          <w:p w:rsidRPr="00ED2970" w:rsidR="005900C7" w:rsidP="00D8370F" w:rsidRDefault="005900C7">
            <w:pPr>
              <w:jc w:val="right"/>
            </w:pPr>
            <w:r>
              <w:t>6.5</w:t>
            </w:r>
          </w:p>
        </w:tc>
        <w:tc>
          <w:tcPr>
            <w:tcW w:w="1114" w:type="dxa"/>
          </w:tcPr>
          <w:p w:rsidRPr="00ED2970" w:rsidR="005900C7" w:rsidP="00D8370F" w:rsidRDefault="005900C7">
            <w:pPr>
              <w:jc w:val="right"/>
            </w:pPr>
            <w:r>
              <w:t>4.8</w:t>
            </w:r>
          </w:p>
        </w:tc>
        <w:tc>
          <w:tcPr>
            <w:tcW w:w="1134" w:type="dxa"/>
          </w:tcPr>
          <w:p w:rsidRPr="00ED2970" w:rsidR="005900C7" w:rsidP="00D8370F" w:rsidRDefault="005900C7">
            <w:pPr>
              <w:jc w:val="right"/>
            </w:pPr>
            <w:r>
              <w:t>14.4</w:t>
            </w:r>
          </w:p>
        </w:tc>
        <w:tc>
          <w:tcPr>
            <w:tcW w:w="1620" w:type="dxa"/>
          </w:tcPr>
          <w:p w:rsidRPr="00ED2970" w:rsidR="005900C7" w:rsidP="00D8370F" w:rsidRDefault="005900C7">
            <w:pPr>
              <w:jc w:val="right"/>
            </w:pPr>
            <w:r>
              <w:t>34.5</w:t>
            </w:r>
          </w:p>
        </w:tc>
      </w:tr>
      <w:tr w:rsidR="005900C7" w:rsidTr="00D8370F">
        <w:trPr>
          <w:jc w:val="center"/>
        </w:trPr>
        <w:tc>
          <w:tcPr>
            <w:tcW w:w="1283" w:type="dxa"/>
          </w:tcPr>
          <w:p w:rsidRPr="00ED2970" w:rsidR="005900C7" w:rsidP="00D8370F" w:rsidRDefault="005900C7">
            <w:r w:rsidRPr="00ED2970">
              <w:t>40</w:t>
            </w:r>
            <w:r>
              <w:t>km</w:t>
            </w:r>
          </w:p>
        </w:tc>
        <w:tc>
          <w:tcPr>
            <w:tcW w:w="1170" w:type="dxa"/>
          </w:tcPr>
          <w:p w:rsidRPr="00ED2970" w:rsidR="005900C7" w:rsidP="00D8370F" w:rsidRDefault="005900C7">
            <w:pPr>
              <w:jc w:val="right"/>
            </w:pPr>
            <w:r>
              <w:t>42.7</w:t>
            </w:r>
          </w:p>
        </w:tc>
        <w:tc>
          <w:tcPr>
            <w:tcW w:w="1118" w:type="dxa"/>
          </w:tcPr>
          <w:p w:rsidRPr="00ED2970" w:rsidR="005900C7" w:rsidP="00D8370F" w:rsidRDefault="005900C7">
            <w:pPr>
              <w:jc w:val="right"/>
            </w:pPr>
            <w:r>
              <w:t>6.2</w:t>
            </w:r>
          </w:p>
        </w:tc>
        <w:tc>
          <w:tcPr>
            <w:tcW w:w="1114" w:type="dxa"/>
          </w:tcPr>
          <w:p w:rsidRPr="00ED2970" w:rsidR="005900C7" w:rsidP="00D8370F" w:rsidRDefault="005900C7">
            <w:pPr>
              <w:jc w:val="right"/>
            </w:pPr>
            <w:r>
              <w:t>4.8</w:t>
            </w:r>
          </w:p>
        </w:tc>
        <w:tc>
          <w:tcPr>
            <w:tcW w:w="1134" w:type="dxa"/>
          </w:tcPr>
          <w:p w:rsidRPr="00ED2970" w:rsidR="005900C7" w:rsidP="00D8370F" w:rsidRDefault="005900C7">
            <w:pPr>
              <w:jc w:val="right"/>
            </w:pPr>
            <w:r>
              <w:t>14.2</w:t>
            </w:r>
          </w:p>
        </w:tc>
        <w:tc>
          <w:tcPr>
            <w:tcW w:w="1620" w:type="dxa"/>
          </w:tcPr>
          <w:p w:rsidRPr="00ED2970" w:rsidR="005900C7" w:rsidP="00D8370F" w:rsidRDefault="005900C7">
            <w:pPr>
              <w:jc w:val="right"/>
            </w:pPr>
            <w:r>
              <w:t>32.2</w:t>
            </w:r>
          </w:p>
        </w:tc>
      </w:tr>
      <w:tr w:rsidR="005900C7" w:rsidTr="00D8370F">
        <w:trPr>
          <w:jc w:val="center"/>
        </w:trPr>
        <w:tc>
          <w:tcPr>
            <w:tcW w:w="1283" w:type="dxa"/>
          </w:tcPr>
          <w:p w:rsidRPr="00ED2970" w:rsidR="005900C7" w:rsidP="00D8370F" w:rsidRDefault="005900C7">
            <w:r w:rsidRPr="00ED2970">
              <w:t>45</w:t>
            </w:r>
            <w:r>
              <w:t>km</w:t>
            </w:r>
          </w:p>
        </w:tc>
        <w:tc>
          <w:tcPr>
            <w:tcW w:w="1170" w:type="dxa"/>
          </w:tcPr>
          <w:p w:rsidRPr="00ED2970" w:rsidR="005900C7" w:rsidP="00D8370F" w:rsidRDefault="005900C7">
            <w:pPr>
              <w:jc w:val="right"/>
            </w:pPr>
            <w:r>
              <w:t>45.0</w:t>
            </w:r>
          </w:p>
        </w:tc>
        <w:tc>
          <w:tcPr>
            <w:tcW w:w="1118" w:type="dxa"/>
          </w:tcPr>
          <w:p w:rsidRPr="00ED2970" w:rsidR="005900C7" w:rsidP="00D8370F" w:rsidRDefault="005900C7">
            <w:pPr>
              <w:jc w:val="right"/>
            </w:pPr>
            <w:r>
              <w:t>5.9</w:t>
            </w:r>
          </w:p>
        </w:tc>
        <w:tc>
          <w:tcPr>
            <w:tcW w:w="1114" w:type="dxa"/>
          </w:tcPr>
          <w:p w:rsidRPr="00ED2970" w:rsidR="005900C7" w:rsidP="00D8370F" w:rsidRDefault="005900C7">
            <w:pPr>
              <w:jc w:val="right"/>
            </w:pPr>
            <w:r>
              <w:t>4.7</w:t>
            </w:r>
          </w:p>
        </w:tc>
        <w:tc>
          <w:tcPr>
            <w:tcW w:w="1134" w:type="dxa"/>
          </w:tcPr>
          <w:p w:rsidRPr="00ED2970" w:rsidR="005900C7" w:rsidP="00D8370F" w:rsidRDefault="005900C7">
            <w:pPr>
              <w:jc w:val="right"/>
            </w:pPr>
            <w:r>
              <w:t>13.9</w:t>
            </w:r>
          </w:p>
        </w:tc>
        <w:tc>
          <w:tcPr>
            <w:tcW w:w="1620" w:type="dxa"/>
          </w:tcPr>
          <w:p w:rsidRPr="00ED2970" w:rsidR="005900C7" w:rsidP="00D8370F" w:rsidRDefault="005900C7">
            <w:pPr>
              <w:jc w:val="right"/>
            </w:pPr>
            <w:r>
              <w:t>30.6</w:t>
            </w:r>
          </w:p>
        </w:tc>
      </w:tr>
      <w:tr w:rsidR="005900C7" w:rsidTr="00D8370F">
        <w:trPr>
          <w:jc w:val="center"/>
        </w:trPr>
        <w:tc>
          <w:tcPr>
            <w:tcW w:w="1283" w:type="dxa"/>
          </w:tcPr>
          <w:p w:rsidRPr="00ED2970" w:rsidR="005900C7" w:rsidP="00D8370F" w:rsidRDefault="005900C7">
            <w:r w:rsidRPr="00ED2970">
              <w:t>50</w:t>
            </w:r>
            <w:r>
              <w:t>km</w:t>
            </w:r>
          </w:p>
        </w:tc>
        <w:tc>
          <w:tcPr>
            <w:tcW w:w="1170" w:type="dxa"/>
          </w:tcPr>
          <w:p w:rsidRPr="00ED2970" w:rsidR="005900C7" w:rsidP="00D8370F" w:rsidRDefault="005900C7">
            <w:pPr>
              <w:jc w:val="right"/>
            </w:pPr>
            <w:r>
              <w:t>47.4</w:t>
            </w:r>
          </w:p>
        </w:tc>
        <w:tc>
          <w:tcPr>
            <w:tcW w:w="1118" w:type="dxa"/>
          </w:tcPr>
          <w:p w:rsidRPr="00ED2970" w:rsidR="005900C7" w:rsidP="00D8370F" w:rsidRDefault="005900C7">
            <w:pPr>
              <w:jc w:val="right"/>
            </w:pPr>
            <w:r>
              <w:t>5.5</w:t>
            </w:r>
          </w:p>
        </w:tc>
        <w:tc>
          <w:tcPr>
            <w:tcW w:w="1114" w:type="dxa"/>
          </w:tcPr>
          <w:p w:rsidRPr="00ED2970" w:rsidR="005900C7" w:rsidP="00D8370F" w:rsidRDefault="005900C7">
            <w:pPr>
              <w:jc w:val="right"/>
            </w:pPr>
            <w:r>
              <w:t>4.6</w:t>
            </w:r>
          </w:p>
        </w:tc>
        <w:tc>
          <w:tcPr>
            <w:tcW w:w="1134" w:type="dxa"/>
          </w:tcPr>
          <w:p w:rsidRPr="00ED2970" w:rsidR="005900C7" w:rsidP="00D8370F" w:rsidRDefault="005900C7">
            <w:pPr>
              <w:jc w:val="right"/>
            </w:pPr>
            <w:r>
              <w:t>13.6</w:t>
            </w:r>
          </w:p>
        </w:tc>
        <w:tc>
          <w:tcPr>
            <w:tcW w:w="1620" w:type="dxa"/>
          </w:tcPr>
          <w:p w:rsidRPr="00ED2970" w:rsidR="005900C7" w:rsidP="00D8370F" w:rsidRDefault="005900C7">
            <w:pPr>
              <w:jc w:val="right"/>
            </w:pPr>
            <w:r>
              <w:t>28.9</w:t>
            </w:r>
          </w:p>
        </w:tc>
      </w:tr>
      <w:tr w:rsidR="005900C7" w:rsidTr="00D8370F">
        <w:trPr>
          <w:jc w:val="center"/>
        </w:trPr>
        <w:tc>
          <w:tcPr>
            <w:tcW w:w="1283" w:type="dxa"/>
          </w:tcPr>
          <w:p w:rsidRPr="00ED2970" w:rsidR="005900C7" w:rsidP="00D8370F" w:rsidRDefault="005900C7">
            <w:r w:rsidRPr="00ED2970">
              <w:t>55</w:t>
            </w:r>
            <w:r>
              <w:t>km</w:t>
            </w:r>
          </w:p>
        </w:tc>
        <w:tc>
          <w:tcPr>
            <w:tcW w:w="1170" w:type="dxa"/>
          </w:tcPr>
          <w:p w:rsidRPr="00ED2970" w:rsidR="005900C7" w:rsidP="00D8370F" w:rsidRDefault="005900C7">
            <w:pPr>
              <w:jc w:val="right"/>
            </w:pPr>
            <w:r>
              <w:t>49.8</w:t>
            </w:r>
          </w:p>
        </w:tc>
        <w:tc>
          <w:tcPr>
            <w:tcW w:w="1118" w:type="dxa"/>
          </w:tcPr>
          <w:p w:rsidRPr="00ED2970" w:rsidR="005900C7" w:rsidP="00D8370F" w:rsidRDefault="005900C7">
            <w:pPr>
              <w:jc w:val="right"/>
            </w:pPr>
            <w:r>
              <w:t>5.1</w:t>
            </w:r>
          </w:p>
        </w:tc>
        <w:tc>
          <w:tcPr>
            <w:tcW w:w="1114" w:type="dxa"/>
          </w:tcPr>
          <w:p w:rsidRPr="00ED2970" w:rsidR="005900C7" w:rsidP="00D8370F" w:rsidRDefault="005900C7">
            <w:pPr>
              <w:jc w:val="right"/>
            </w:pPr>
            <w:r>
              <w:t>4.5</w:t>
            </w:r>
          </w:p>
        </w:tc>
        <w:tc>
          <w:tcPr>
            <w:tcW w:w="1134" w:type="dxa"/>
          </w:tcPr>
          <w:p w:rsidRPr="00ED2970" w:rsidR="005900C7" w:rsidP="00D8370F" w:rsidRDefault="005900C7">
            <w:pPr>
              <w:jc w:val="right"/>
            </w:pPr>
            <w:r>
              <w:t>13.4</w:t>
            </w:r>
          </w:p>
        </w:tc>
        <w:tc>
          <w:tcPr>
            <w:tcW w:w="1620" w:type="dxa"/>
          </w:tcPr>
          <w:p w:rsidRPr="00ED2970" w:rsidR="005900C7" w:rsidP="00D8370F" w:rsidRDefault="005900C7">
            <w:pPr>
              <w:jc w:val="right"/>
            </w:pPr>
            <w:r>
              <w:t>27.3</w:t>
            </w:r>
          </w:p>
        </w:tc>
      </w:tr>
      <w:tr w:rsidR="005900C7" w:rsidTr="00D8370F">
        <w:trPr>
          <w:jc w:val="center"/>
        </w:trPr>
        <w:tc>
          <w:tcPr>
            <w:tcW w:w="1283" w:type="dxa"/>
          </w:tcPr>
          <w:p w:rsidRPr="00ED2970" w:rsidR="005900C7" w:rsidP="00D8370F" w:rsidRDefault="005900C7">
            <w:r w:rsidRPr="00ED2970">
              <w:t>60</w:t>
            </w:r>
            <w:r>
              <w:t>km</w:t>
            </w:r>
          </w:p>
        </w:tc>
        <w:tc>
          <w:tcPr>
            <w:tcW w:w="1170" w:type="dxa"/>
          </w:tcPr>
          <w:p w:rsidRPr="00ED2970" w:rsidR="005900C7" w:rsidP="00D8370F" w:rsidRDefault="005900C7">
            <w:pPr>
              <w:jc w:val="right"/>
            </w:pPr>
            <w:r>
              <w:t>51.6</w:t>
            </w:r>
          </w:p>
        </w:tc>
        <w:tc>
          <w:tcPr>
            <w:tcW w:w="1118" w:type="dxa"/>
          </w:tcPr>
          <w:p w:rsidRPr="00ED2970" w:rsidR="005900C7" w:rsidP="00D8370F" w:rsidRDefault="005900C7">
            <w:pPr>
              <w:jc w:val="right"/>
            </w:pPr>
            <w:r>
              <w:t>4.8</w:t>
            </w:r>
          </w:p>
        </w:tc>
        <w:tc>
          <w:tcPr>
            <w:tcW w:w="1114" w:type="dxa"/>
          </w:tcPr>
          <w:p w:rsidRPr="00ED2970" w:rsidR="005900C7" w:rsidP="00D8370F" w:rsidRDefault="005900C7">
            <w:pPr>
              <w:jc w:val="right"/>
            </w:pPr>
            <w:r>
              <w:t>4.4</w:t>
            </w:r>
          </w:p>
        </w:tc>
        <w:tc>
          <w:tcPr>
            <w:tcW w:w="1134" w:type="dxa"/>
          </w:tcPr>
          <w:p w:rsidRPr="00ED2970" w:rsidR="005900C7" w:rsidP="00D8370F" w:rsidRDefault="005900C7">
            <w:pPr>
              <w:jc w:val="right"/>
            </w:pPr>
            <w:r>
              <w:t>13.2</w:t>
            </w:r>
          </w:p>
        </w:tc>
        <w:tc>
          <w:tcPr>
            <w:tcW w:w="1620" w:type="dxa"/>
          </w:tcPr>
          <w:p w:rsidRPr="00ED2970" w:rsidR="005900C7" w:rsidP="00D8370F" w:rsidRDefault="005900C7">
            <w:pPr>
              <w:jc w:val="right"/>
            </w:pPr>
            <w:r>
              <w:t>26.0</w:t>
            </w:r>
          </w:p>
        </w:tc>
      </w:tr>
      <w:tr w:rsidR="005900C7" w:rsidTr="00D8370F">
        <w:trPr>
          <w:jc w:val="center"/>
        </w:trPr>
        <w:tc>
          <w:tcPr>
            <w:tcW w:w="1283" w:type="dxa"/>
          </w:tcPr>
          <w:p w:rsidRPr="00ED2970" w:rsidR="005900C7" w:rsidP="00D8370F" w:rsidRDefault="005900C7">
            <w:r w:rsidRPr="00ED2970">
              <w:t>65</w:t>
            </w:r>
            <w:r>
              <w:t>km</w:t>
            </w:r>
          </w:p>
        </w:tc>
        <w:tc>
          <w:tcPr>
            <w:tcW w:w="1170" w:type="dxa"/>
          </w:tcPr>
          <w:p w:rsidRPr="00ED2970" w:rsidR="005900C7" w:rsidP="00D8370F" w:rsidRDefault="005900C7">
            <w:pPr>
              <w:jc w:val="right"/>
            </w:pPr>
            <w:r>
              <w:t>53.6</w:t>
            </w:r>
          </w:p>
        </w:tc>
        <w:tc>
          <w:tcPr>
            <w:tcW w:w="1118" w:type="dxa"/>
          </w:tcPr>
          <w:p w:rsidRPr="00ED2970" w:rsidR="005900C7" w:rsidP="00D8370F" w:rsidRDefault="005900C7">
            <w:pPr>
              <w:jc w:val="right"/>
            </w:pPr>
            <w:r>
              <w:t>4.5</w:t>
            </w:r>
          </w:p>
        </w:tc>
        <w:tc>
          <w:tcPr>
            <w:tcW w:w="1114" w:type="dxa"/>
          </w:tcPr>
          <w:p w:rsidRPr="00ED2970" w:rsidR="005900C7" w:rsidP="00D8370F" w:rsidRDefault="005900C7">
            <w:pPr>
              <w:jc w:val="right"/>
            </w:pPr>
            <w:r>
              <w:t>4.3</w:t>
            </w:r>
          </w:p>
        </w:tc>
        <w:tc>
          <w:tcPr>
            <w:tcW w:w="1134" w:type="dxa"/>
          </w:tcPr>
          <w:p w:rsidRPr="00ED2970" w:rsidR="005900C7" w:rsidP="00D8370F" w:rsidRDefault="005900C7">
            <w:pPr>
              <w:jc w:val="right"/>
            </w:pPr>
            <w:r>
              <w:t>12.6</w:t>
            </w:r>
          </w:p>
        </w:tc>
        <w:tc>
          <w:tcPr>
            <w:tcW w:w="1620" w:type="dxa"/>
          </w:tcPr>
          <w:p w:rsidRPr="00ED2970" w:rsidR="005900C7" w:rsidP="00D8370F" w:rsidRDefault="005900C7">
            <w:pPr>
              <w:jc w:val="right"/>
            </w:pPr>
            <w:r>
              <w:t>24.9</w:t>
            </w:r>
          </w:p>
        </w:tc>
      </w:tr>
      <w:tr w:rsidR="005900C7" w:rsidTr="00D8370F">
        <w:trPr>
          <w:jc w:val="center"/>
        </w:trPr>
        <w:tc>
          <w:tcPr>
            <w:tcW w:w="1283" w:type="dxa"/>
          </w:tcPr>
          <w:p w:rsidRPr="00ED2970" w:rsidR="005900C7" w:rsidP="00D8370F" w:rsidRDefault="005900C7">
            <w:r>
              <w:t>70km</w:t>
            </w:r>
          </w:p>
        </w:tc>
        <w:tc>
          <w:tcPr>
            <w:tcW w:w="1170" w:type="dxa"/>
          </w:tcPr>
          <w:p w:rsidRPr="00ED2970" w:rsidR="005900C7" w:rsidP="00D8370F" w:rsidRDefault="005900C7">
            <w:pPr>
              <w:jc w:val="right"/>
            </w:pPr>
            <w:r>
              <w:t>55.3</w:t>
            </w:r>
          </w:p>
        </w:tc>
        <w:tc>
          <w:tcPr>
            <w:tcW w:w="1118" w:type="dxa"/>
          </w:tcPr>
          <w:p w:rsidRPr="00ED2970" w:rsidR="005900C7" w:rsidP="00D8370F" w:rsidRDefault="005900C7">
            <w:pPr>
              <w:jc w:val="right"/>
            </w:pPr>
            <w:r>
              <w:t>4.3</w:t>
            </w:r>
          </w:p>
        </w:tc>
        <w:tc>
          <w:tcPr>
            <w:tcW w:w="1114" w:type="dxa"/>
          </w:tcPr>
          <w:p w:rsidRPr="00ED2970" w:rsidR="005900C7" w:rsidP="00D8370F" w:rsidRDefault="005900C7">
            <w:pPr>
              <w:jc w:val="right"/>
            </w:pPr>
            <w:r>
              <w:t>4.3</w:t>
            </w:r>
          </w:p>
        </w:tc>
        <w:tc>
          <w:tcPr>
            <w:tcW w:w="1134" w:type="dxa"/>
          </w:tcPr>
          <w:p w:rsidRPr="00ED2970" w:rsidR="005900C7" w:rsidP="00D8370F" w:rsidRDefault="005900C7">
            <w:pPr>
              <w:jc w:val="right"/>
            </w:pPr>
            <w:r>
              <w:t>12.3</w:t>
            </w:r>
          </w:p>
        </w:tc>
        <w:tc>
          <w:tcPr>
            <w:tcW w:w="1620" w:type="dxa"/>
          </w:tcPr>
          <w:p w:rsidRPr="00ED2970" w:rsidR="005900C7" w:rsidP="00D8370F" w:rsidRDefault="005900C7">
            <w:pPr>
              <w:jc w:val="right"/>
            </w:pPr>
            <w:r>
              <w:t>23.8</w:t>
            </w:r>
          </w:p>
        </w:tc>
      </w:tr>
      <w:tr w:rsidR="005900C7" w:rsidTr="00D8370F">
        <w:trPr>
          <w:jc w:val="center"/>
        </w:trPr>
        <w:tc>
          <w:tcPr>
            <w:tcW w:w="1283" w:type="dxa"/>
          </w:tcPr>
          <w:p w:rsidRPr="00ED2970" w:rsidR="005900C7" w:rsidP="00D8370F" w:rsidRDefault="005900C7">
            <w:r>
              <w:t>100km</w:t>
            </w:r>
          </w:p>
        </w:tc>
        <w:tc>
          <w:tcPr>
            <w:tcW w:w="1170" w:type="dxa"/>
          </w:tcPr>
          <w:p w:rsidRPr="00ED2970" w:rsidR="005900C7" w:rsidP="00D8370F" w:rsidRDefault="005900C7">
            <w:pPr>
              <w:jc w:val="right"/>
            </w:pPr>
            <w:r>
              <w:t>64.6</w:t>
            </w:r>
          </w:p>
        </w:tc>
        <w:tc>
          <w:tcPr>
            <w:tcW w:w="1118" w:type="dxa"/>
          </w:tcPr>
          <w:p w:rsidRPr="00ED2970" w:rsidR="005900C7" w:rsidP="00D8370F" w:rsidRDefault="005900C7">
            <w:pPr>
              <w:jc w:val="right"/>
            </w:pPr>
            <w:r>
              <w:t>2.9</w:t>
            </w:r>
          </w:p>
        </w:tc>
        <w:tc>
          <w:tcPr>
            <w:tcW w:w="1114" w:type="dxa"/>
          </w:tcPr>
          <w:p w:rsidRPr="00ED2970" w:rsidR="005900C7" w:rsidP="00D8370F" w:rsidRDefault="005900C7">
            <w:pPr>
              <w:jc w:val="right"/>
            </w:pPr>
            <w:r>
              <w:t>4.0</w:t>
            </w:r>
          </w:p>
        </w:tc>
        <w:tc>
          <w:tcPr>
            <w:tcW w:w="1134" w:type="dxa"/>
          </w:tcPr>
          <w:p w:rsidRPr="00ED2970" w:rsidR="005900C7" w:rsidP="00D8370F" w:rsidRDefault="005900C7">
            <w:pPr>
              <w:jc w:val="right"/>
            </w:pPr>
            <w:r>
              <w:t>10.8</w:t>
            </w:r>
          </w:p>
        </w:tc>
        <w:tc>
          <w:tcPr>
            <w:tcW w:w="1620" w:type="dxa"/>
          </w:tcPr>
          <w:p w:rsidRPr="00ED2970" w:rsidR="005900C7" w:rsidP="00D8370F" w:rsidRDefault="005900C7">
            <w:pPr>
              <w:jc w:val="right"/>
            </w:pPr>
            <w:r>
              <w:t>17.8</w:t>
            </w:r>
          </w:p>
        </w:tc>
      </w:tr>
    </w:tbl>
    <w:p w:rsidRPr="00B535AD" w:rsidR="005900C7" w:rsidP="005900C7" w:rsidRDefault="005900C7">
      <w:pPr>
        <w:spacing w:after="0" w:line="240" w:lineRule="auto"/>
        <w:jc w:val="both"/>
      </w:pPr>
    </w:p>
    <w:p w:rsidR="00AC6E8A" w:rsidRDefault="00AC6E8A">
      <w:pPr>
        <w:rPr>
          <w:i/>
        </w:rPr>
      </w:pPr>
    </w:p>
    <w:p w:rsidRPr="002845F8" w:rsidR="00A47CDE" w:rsidP="001734E9" w:rsidRDefault="002845F8">
      <w:pPr>
        <w:spacing w:after="0" w:line="360" w:lineRule="auto"/>
        <w:jc w:val="both"/>
        <w:outlineLvl w:val="0"/>
      </w:pPr>
      <w:r w:rsidRPr="002845F8">
        <w:t>6.2</w:t>
      </w:r>
      <w:r w:rsidRPr="002845F8">
        <w:tab/>
      </w:r>
      <w:r w:rsidRPr="002845F8" w:rsidR="00A47CDE">
        <w:t xml:space="preserve">Bivariate probit </w:t>
      </w:r>
    </w:p>
    <w:p w:rsidR="00A47CDE" w:rsidP="00A47CDE" w:rsidRDefault="00515496">
      <w:pPr>
        <w:spacing w:after="0" w:line="360" w:lineRule="auto"/>
        <w:jc w:val="both"/>
      </w:pPr>
      <w:r>
        <w:t>Table 4 illustrates the r</w:t>
      </w:r>
      <w:r w:rsidR="00A47CDE">
        <w:t xml:space="preserve">esults </w:t>
      </w:r>
      <w:r>
        <w:t xml:space="preserve">for the </w:t>
      </w:r>
      <w:r w:rsidR="00A47CDE">
        <w:t xml:space="preserve">bivariate </w:t>
      </w:r>
      <w:r>
        <w:t>probit</w:t>
      </w:r>
      <w:r w:rsidR="001E37D9">
        <w:t xml:space="preserve"> </w:t>
      </w:r>
      <w:r w:rsidR="00A47CDE">
        <w:t>analysis,</w:t>
      </w:r>
      <w:r>
        <w:t xml:space="preserve"> </w:t>
      </w:r>
      <w:r w:rsidR="00A47CDE">
        <w:t>modelling the joint decision to move to university and from university to work.</w:t>
      </w:r>
      <w:r w:rsidR="00015FBF">
        <w:rPr>
          <w:rStyle w:val="EndnoteReference"/>
        </w:rPr>
        <w:endnoteReference w:id="14"/>
      </w:r>
      <w:r w:rsidR="00A47CDE">
        <w:t xml:space="preserve"> The marginal effects, or influence on the probability of observing a </w:t>
      </w:r>
      <w:r w:rsidR="00C45752">
        <w:t xml:space="preserve">given </w:t>
      </w:r>
      <w:r w:rsidR="00A47CDE">
        <w:t xml:space="preserve">movement, are reported across the chosen three representative distance thresholds for a number of the key variables </w:t>
      </w:r>
      <w:r w:rsidR="00260B4B">
        <w:t>within the specification</w:t>
      </w:r>
      <w:r w:rsidR="000C2AF9">
        <w:t xml:space="preserve"> (</w:t>
      </w:r>
      <w:r w:rsidR="00C45752">
        <w:t xml:space="preserve">complete </w:t>
      </w:r>
      <w:r w:rsidR="00A47CDE">
        <w:t xml:space="preserve">results </w:t>
      </w:r>
      <w:r w:rsidR="00F64C91">
        <w:t>av</w:t>
      </w:r>
      <w:r w:rsidR="00A47CDE">
        <w:t xml:space="preserve">ailable in Appendix Table </w:t>
      </w:r>
      <w:r w:rsidR="00F64C91">
        <w:t>1)</w:t>
      </w:r>
      <w:r w:rsidR="00A47CDE">
        <w:t xml:space="preserve">. While there is some variation across the three distance thresholds in terms of </w:t>
      </w:r>
      <w:r w:rsidR="00A47CDE">
        <w:lastRenderedPageBreak/>
        <w:t>significance of estimates, the direction of influence remains unchanged and there is a remarkably consistent story at 50 and 100</w:t>
      </w:r>
      <w:r w:rsidR="009B3C42">
        <w:t>km</w:t>
      </w:r>
      <w:r w:rsidR="00A47CDE">
        <w:t xml:space="preserve">. Dealing initially with the likelihood of moving to university (see equation [1]), this </w:t>
      </w:r>
      <w:r w:rsidRPr="00FE6CC6" w:rsidR="00A47CDE">
        <w:t>increases with age</w:t>
      </w:r>
      <w:r w:rsidRPr="00FE6CC6" w:rsidR="00605ED8">
        <w:t>,</w:t>
      </w:r>
      <w:r w:rsidRPr="00FE6CC6" w:rsidR="00A47CDE">
        <w:t xml:space="preserve"> having a reported learning difficulty</w:t>
      </w:r>
      <w:r w:rsidRPr="00FE6CC6" w:rsidR="00605ED8">
        <w:t xml:space="preserve"> (such as</w:t>
      </w:r>
      <w:r w:rsidR="00605ED8">
        <w:t xml:space="preserve"> dyslexia)</w:t>
      </w:r>
      <w:r w:rsidR="0062448C">
        <w:t xml:space="preserve">, </w:t>
      </w:r>
      <w:r w:rsidR="00A47CDE">
        <w:t xml:space="preserve">and being male. Similarly, university reputation and research quality both tend to increase the tendency to relocate </w:t>
      </w:r>
      <w:r w:rsidR="001E37D9">
        <w:t xml:space="preserve">from domicile to </w:t>
      </w:r>
      <w:r w:rsidR="00A47CDE">
        <w:t>university</w:t>
      </w:r>
      <w:r w:rsidR="00A218DF">
        <w:t>. Students</w:t>
      </w:r>
      <w:r w:rsidR="00A47CDE">
        <w:t xml:space="preserve"> attending the research intensive universities of the Russell Group and universities more highly ranked in the 200</w:t>
      </w:r>
      <w:r w:rsidR="00605ED8">
        <w:t>1</w:t>
      </w:r>
      <w:r w:rsidR="00A47CDE">
        <w:t xml:space="preserve"> RAE </w:t>
      </w:r>
      <w:r w:rsidR="00A218DF">
        <w:t xml:space="preserve">have </w:t>
      </w:r>
      <w:r w:rsidR="00A47CDE">
        <w:t>an increased propensity</w:t>
      </w:r>
      <w:r w:rsidR="00C141A5">
        <w:t xml:space="preserve"> to move</w:t>
      </w:r>
      <w:r w:rsidR="00A47CDE">
        <w:t>.</w:t>
      </w:r>
      <w:r w:rsidR="00A47CDE">
        <w:rPr>
          <w:rStyle w:val="EndnoteReference"/>
        </w:rPr>
        <w:endnoteReference w:id="15"/>
      </w:r>
      <w:r w:rsidR="00096DDE">
        <w:t xml:space="preserve"> </w:t>
      </w:r>
      <w:r w:rsidR="00A47CDE">
        <w:t xml:space="preserve">In contrast, being </w:t>
      </w:r>
      <w:r w:rsidR="007D4AAB">
        <w:t>of</w:t>
      </w:r>
      <w:r w:rsidR="00A47CDE">
        <w:t xml:space="preserve"> </w:t>
      </w:r>
      <w:r w:rsidR="001F0136">
        <w:t xml:space="preserve">an </w:t>
      </w:r>
      <w:r w:rsidR="00A47CDE">
        <w:t>ethnic minority background decreases the likelihood as does the number of institutions in the home region.</w:t>
      </w:r>
      <w:r w:rsidR="00A47CDE">
        <w:rPr>
          <w:rStyle w:val="EndnoteReference"/>
        </w:rPr>
        <w:endnoteReference w:id="16"/>
      </w:r>
      <w:r w:rsidR="00A47CDE">
        <w:t xml:space="preserve"> Furthermore, although not presented in the table, substantial effects are also apparent across degree subject studied and domicile region, with those in Scotland and London in particular significantly less likely to move to university.</w:t>
      </w:r>
    </w:p>
    <w:p w:rsidR="00D04362" w:rsidP="00A47CDE" w:rsidRDefault="00D04362">
      <w:pPr>
        <w:spacing w:after="0" w:line="360" w:lineRule="auto"/>
        <w:jc w:val="both"/>
      </w:pPr>
    </w:p>
    <w:p w:rsidRPr="00C02B22" w:rsidR="005900C7" w:rsidP="005900C7" w:rsidRDefault="005900C7">
      <w:pPr>
        <w:spacing w:after="0" w:line="240" w:lineRule="auto"/>
        <w:jc w:val="center"/>
        <w:outlineLvl w:val="0"/>
        <w:rPr>
          <w:b/>
        </w:rPr>
      </w:pPr>
      <w:r>
        <w:rPr>
          <w:b/>
        </w:rPr>
        <w:t>Table 4</w:t>
      </w:r>
    </w:p>
    <w:p w:rsidR="005900C7" w:rsidP="005900C7" w:rsidRDefault="005900C7">
      <w:pPr>
        <w:spacing w:after="0" w:line="240" w:lineRule="auto"/>
        <w:jc w:val="center"/>
        <w:rPr>
          <w:b/>
        </w:rPr>
      </w:pPr>
      <w:r>
        <w:rPr>
          <w:b/>
        </w:rPr>
        <w:t>Marginal Effects of Joint Decision to Move from Home Domicile to University (</w:t>
      </w:r>
      <w:r w:rsidRPr="00DF1498">
        <w:rPr>
          <w:b/>
          <w:i/>
        </w:rPr>
        <w:t>I</w:t>
      </w:r>
      <w:r w:rsidRPr="00DF1498">
        <w:rPr>
          <w:b/>
          <w:i/>
          <w:vertAlign w:val="subscript"/>
        </w:rPr>
        <w:t>1</w:t>
      </w:r>
      <w:r>
        <w:rPr>
          <w:b/>
        </w:rPr>
        <w:t>)</w:t>
      </w:r>
    </w:p>
    <w:p w:rsidRPr="00C02B22" w:rsidR="005900C7" w:rsidP="005900C7" w:rsidRDefault="005900C7">
      <w:pPr>
        <w:spacing w:after="0" w:line="240" w:lineRule="auto"/>
        <w:jc w:val="center"/>
        <w:rPr>
          <w:b/>
        </w:rPr>
      </w:pPr>
      <w:r>
        <w:rPr>
          <w:b/>
        </w:rPr>
        <w:t>and from University to Work (</w:t>
      </w:r>
      <w:r w:rsidRPr="00DF1498">
        <w:rPr>
          <w:b/>
          <w:i/>
        </w:rPr>
        <w:t>I</w:t>
      </w:r>
      <w:r w:rsidRPr="00DF1498">
        <w:rPr>
          <w:b/>
          <w:i/>
          <w:vertAlign w:val="subscript"/>
        </w:rPr>
        <w:t>2</w:t>
      </w:r>
      <w:r>
        <w:rPr>
          <w:b/>
        </w:rPr>
        <w:t>) by Movement Threshold</w:t>
      </w:r>
    </w:p>
    <w:p w:rsidR="005900C7" w:rsidP="005900C7" w:rsidRDefault="005900C7">
      <w:pPr>
        <w:spacing w:after="0" w:line="240" w:lineRule="auto"/>
      </w:pPr>
    </w:p>
    <w:tbl>
      <w:tblPr>
        <w:tblStyle w:val="TableGrid"/>
        <w:tblW w:w="9628" w:type="dxa"/>
        <w:jc w:val="center"/>
        <w:tblLayout w:type="fixed"/>
        <w:tblLook w:val="04A0" w:firstRow="1" w:lastRow="0" w:firstColumn="1" w:lastColumn="0" w:noHBand="0" w:noVBand="1"/>
      </w:tblPr>
      <w:tblGrid>
        <w:gridCol w:w="3397"/>
        <w:gridCol w:w="1026"/>
        <w:gridCol w:w="1063"/>
        <w:gridCol w:w="38"/>
        <w:gridCol w:w="1026"/>
        <w:gridCol w:w="1026"/>
        <w:gridCol w:w="1026"/>
        <w:gridCol w:w="1026"/>
      </w:tblGrid>
      <w:tr w:rsidR="005900C7" w:rsidTr="00D8370F">
        <w:trPr>
          <w:jc w:val="center"/>
        </w:trPr>
        <w:tc>
          <w:tcPr>
            <w:tcW w:w="3397" w:type="dxa"/>
            <w:tcBorders>
              <w:top w:val="nil"/>
              <w:left w:val="nil"/>
              <w:bottom w:val="nil"/>
            </w:tcBorders>
          </w:tcPr>
          <w:p w:rsidR="005900C7" w:rsidP="00D8370F" w:rsidRDefault="005900C7"/>
        </w:tc>
        <w:tc>
          <w:tcPr>
            <w:tcW w:w="2127" w:type="dxa"/>
            <w:gridSpan w:val="3"/>
          </w:tcPr>
          <w:p w:rsidR="005900C7" w:rsidP="00D8370F" w:rsidRDefault="005900C7">
            <w:pPr>
              <w:jc w:val="center"/>
              <w:rPr>
                <w:b/>
              </w:rPr>
            </w:pPr>
            <w:r>
              <w:rPr>
                <w:b/>
              </w:rPr>
              <w:t>25km</w:t>
            </w:r>
          </w:p>
        </w:tc>
        <w:tc>
          <w:tcPr>
            <w:tcW w:w="2052" w:type="dxa"/>
            <w:gridSpan w:val="2"/>
          </w:tcPr>
          <w:p w:rsidR="005900C7" w:rsidP="00D8370F" w:rsidRDefault="005900C7">
            <w:pPr>
              <w:jc w:val="center"/>
              <w:rPr>
                <w:b/>
              </w:rPr>
            </w:pPr>
            <w:r>
              <w:rPr>
                <w:b/>
              </w:rPr>
              <w:t>50km</w:t>
            </w:r>
          </w:p>
        </w:tc>
        <w:tc>
          <w:tcPr>
            <w:tcW w:w="2052" w:type="dxa"/>
            <w:gridSpan w:val="2"/>
          </w:tcPr>
          <w:p w:rsidR="005900C7" w:rsidP="00D8370F" w:rsidRDefault="005900C7">
            <w:pPr>
              <w:jc w:val="center"/>
              <w:rPr>
                <w:b/>
              </w:rPr>
            </w:pPr>
            <w:r>
              <w:rPr>
                <w:b/>
              </w:rPr>
              <w:t>100km</w:t>
            </w:r>
          </w:p>
        </w:tc>
      </w:tr>
      <w:tr w:rsidR="005900C7" w:rsidTr="00D8370F">
        <w:trPr>
          <w:jc w:val="center"/>
        </w:trPr>
        <w:tc>
          <w:tcPr>
            <w:tcW w:w="3397" w:type="dxa"/>
            <w:tcBorders>
              <w:top w:val="nil"/>
              <w:left w:val="nil"/>
            </w:tcBorders>
          </w:tcPr>
          <w:p w:rsidR="005900C7" w:rsidP="00D8370F" w:rsidRDefault="005900C7"/>
        </w:tc>
        <w:tc>
          <w:tcPr>
            <w:tcW w:w="1026" w:type="dxa"/>
          </w:tcPr>
          <w:p w:rsidRPr="0062721D" w:rsidR="005900C7" w:rsidP="00D8370F" w:rsidRDefault="005900C7">
            <w:pPr>
              <w:jc w:val="center"/>
              <w:rPr>
                <w:b/>
              </w:rPr>
            </w:pPr>
            <w:r>
              <w:rPr>
                <w:b/>
              </w:rPr>
              <w:t xml:space="preserve">Univ - </w:t>
            </w:r>
            <w:r w:rsidRPr="00BB05AF">
              <w:rPr>
                <w:b/>
                <w:i/>
              </w:rPr>
              <w:t>I</w:t>
            </w:r>
            <w:r w:rsidRPr="00BB05AF">
              <w:rPr>
                <w:b/>
                <w:i/>
                <w:vertAlign w:val="subscript"/>
              </w:rPr>
              <w:t>1</w:t>
            </w:r>
          </w:p>
        </w:tc>
        <w:tc>
          <w:tcPr>
            <w:tcW w:w="1101" w:type="dxa"/>
            <w:gridSpan w:val="2"/>
          </w:tcPr>
          <w:p w:rsidRPr="0062721D" w:rsidR="005900C7" w:rsidP="00D8370F" w:rsidRDefault="005900C7">
            <w:pPr>
              <w:jc w:val="center"/>
              <w:rPr>
                <w:b/>
              </w:rPr>
            </w:pPr>
            <w:r>
              <w:rPr>
                <w:b/>
              </w:rPr>
              <w:t xml:space="preserve">Work - </w:t>
            </w:r>
            <w:r w:rsidRPr="00BB05AF">
              <w:rPr>
                <w:b/>
                <w:i/>
              </w:rPr>
              <w:t>I</w:t>
            </w:r>
            <w:r w:rsidRPr="00BB05AF">
              <w:rPr>
                <w:b/>
                <w:i/>
                <w:vertAlign w:val="subscript"/>
              </w:rPr>
              <w:t>2</w:t>
            </w:r>
          </w:p>
        </w:tc>
        <w:tc>
          <w:tcPr>
            <w:tcW w:w="1026" w:type="dxa"/>
          </w:tcPr>
          <w:p w:rsidRPr="0062721D" w:rsidR="005900C7" w:rsidP="00D8370F" w:rsidRDefault="005900C7">
            <w:pPr>
              <w:jc w:val="center"/>
              <w:rPr>
                <w:b/>
              </w:rPr>
            </w:pPr>
            <w:r>
              <w:rPr>
                <w:b/>
              </w:rPr>
              <w:t xml:space="preserve">Univ - </w:t>
            </w:r>
            <w:r w:rsidRPr="00BB05AF">
              <w:rPr>
                <w:b/>
                <w:i/>
              </w:rPr>
              <w:t>I</w:t>
            </w:r>
            <w:r w:rsidRPr="00BB05AF">
              <w:rPr>
                <w:b/>
                <w:i/>
                <w:vertAlign w:val="subscript"/>
              </w:rPr>
              <w:t>1</w:t>
            </w:r>
          </w:p>
        </w:tc>
        <w:tc>
          <w:tcPr>
            <w:tcW w:w="1026" w:type="dxa"/>
          </w:tcPr>
          <w:p w:rsidRPr="0062721D" w:rsidR="005900C7" w:rsidP="00D8370F" w:rsidRDefault="005900C7">
            <w:pPr>
              <w:jc w:val="center"/>
              <w:rPr>
                <w:b/>
              </w:rPr>
            </w:pPr>
            <w:r>
              <w:rPr>
                <w:b/>
              </w:rPr>
              <w:t xml:space="preserve">Work - </w:t>
            </w:r>
            <w:r w:rsidRPr="00BB05AF">
              <w:rPr>
                <w:b/>
                <w:i/>
              </w:rPr>
              <w:t>I</w:t>
            </w:r>
            <w:r w:rsidRPr="00BB05AF">
              <w:rPr>
                <w:b/>
                <w:i/>
                <w:vertAlign w:val="subscript"/>
              </w:rPr>
              <w:t>2</w:t>
            </w:r>
          </w:p>
        </w:tc>
        <w:tc>
          <w:tcPr>
            <w:tcW w:w="1026" w:type="dxa"/>
          </w:tcPr>
          <w:p w:rsidR="005900C7" w:rsidP="00D8370F" w:rsidRDefault="005900C7">
            <w:pPr>
              <w:jc w:val="center"/>
              <w:rPr>
                <w:b/>
              </w:rPr>
            </w:pPr>
            <w:r>
              <w:rPr>
                <w:b/>
              </w:rPr>
              <w:t xml:space="preserve">Univ - </w:t>
            </w:r>
            <w:r w:rsidRPr="00BB05AF">
              <w:rPr>
                <w:b/>
                <w:i/>
              </w:rPr>
              <w:t>I</w:t>
            </w:r>
            <w:r w:rsidRPr="00BB05AF">
              <w:rPr>
                <w:b/>
                <w:i/>
                <w:vertAlign w:val="subscript"/>
              </w:rPr>
              <w:t>1</w:t>
            </w:r>
          </w:p>
        </w:tc>
        <w:tc>
          <w:tcPr>
            <w:tcW w:w="1026" w:type="dxa"/>
          </w:tcPr>
          <w:p w:rsidR="005900C7" w:rsidP="00D8370F" w:rsidRDefault="005900C7">
            <w:pPr>
              <w:jc w:val="center"/>
              <w:rPr>
                <w:b/>
              </w:rPr>
            </w:pPr>
            <w:r>
              <w:rPr>
                <w:b/>
              </w:rPr>
              <w:t xml:space="preserve">Work - </w:t>
            </w:r>
            <w:r w:rsidRPr="00BB05AF">
              <w:rPr>
                <w:b/>
                <w:i/>
              </w:rPr>
              <w:t>I</w:t>
            </w:r>
            <w:r w:rsidRPr="00BB05AF">
              <w:rPr>
                <w:b/>
                <w:i/>
                <w:vertAlign w:val="subscript"/>
              </w:rPr>
              <w:t>2</w:t>
            </w:r>
          </w:p>
        </w:tc>
      </w:tr>
      <w:tr w:rsidR="005900C7" w:rsidTr="00D8370F">
        <w:trPr>
          <w:jc w:val="center"/>
        </w:trPr>
        <w:tc>
          <w:tcPr>
            <w:tcW w:w="3397" w:type="dxa"/>
          </w:tcPr>
          <w:p w:rsidR="005900C7" w:rsidP="00D8370F" w:rsidRDefault="005900C7">
            <w:r>
              <w:t>Age at entry</w:t>
            </w:r>
          </w:p>
        </w:tc>
        <w:tc>
          <w:tcPr>
            <w:tcW w:w="1026" w:type="dxa"/>
          </w:tcPr>
          <w:p w:rsidR="005900C7" w:rsidP="00D8370F" w:rsidRDefault="005900C7">
            <w:pPr>
              <w:jc w:val="right"/>
            </w:pPr>
            <w:r>
              <w:t>0.030</w:t>
            </w:r>
          </w:p>
        </w:tc>
        <w:tc>
          <w:tcPr>
            <w:tcW w:w="1101" w:type="dxa"/>
            <w:gridSpan w:val="2"/>
          </w:tcPr>
          <w:p w:rsidR="005900C7" w:rsidP="00D8370F" w:rsidRDefault="005900C7">
            <w:pPr>
              <w:jc w:val="right"/>
            </w:pPr>
          </w:p>
        </w:tc>
        <w:tc>
          <w:tcPr>
            <w:tcW w:w="1026" w:type="dxa"/>
          </w:tcPr>
          <w:p w:rsidR="005900C7" w:rsidP="00D8370F" w:rsidRDefault="005900C7">
            <w:pPr>
              <w:jc w:val="right"/>
            </w:pPr>
            <w:r>
              <w:t>0.100</w:t>
            </w:r>
            <w:r w:rsidRPr="00E77F6C">
              <w:rPr>
                <w:vertAlign w:val="superscript"/>
              </w:rPr>
              <w:t>++</w:t>
            </w:r>
          </w:p>
        </w:tc>
        <w:tc>
          <w:tcPr>
            <w:tcW w:w="1026" w:type="dxa"/>
          </w:tcPr>
          <w:p w:rsidR="005900C7" w:rsidP="00D8370F" w:rsidRDefault="005900C7">
            <w:pPr>
              <w:jc w:val="right"/>
            </w:pPr>
          </w:p>
        </w:tc>
        <w:tc>
          <w:tcPr>
            <w:tcW w:w="1026" w:type="dxa"/>
          </w:tcPr>
          <w:p w:rsidR="005900C7" w:rsidP="00D8370F" w:rsidRDefault="005900C7">
            <w:pPr>
              <w:jc w:val="right"/>
            </w:pPr>
            <w:r>
              <w:t>0.168</w:t>
            </w:r>
            <w:r w:rsidRPr="00AB5135">
              <w:rPr>
                <w:vertAlign w:val="superscript"/>
              </w:rPr>
              <w:t>+++</w:t>
            </w:r>
          </w:p>
        </w:tc>
        <w:tc>
          <w:tcPr>
            <w:tcW w:w="1026" w:type="dxa"/>
          </w:tcPr>
          <w:p w:rsidR="005900C7" w:rsidP="00D8370F" w:rsidRDefault="005900C7">
            <w:pPr>
              <w:jc w:val="right"/>
            </w:pPr>
          </w:p>
        </w:tc>
      </w:tr>
      <w:tr w:rsidR="005900C7" w:rsidTr="00D8370F">
        <w:trPr>
          <w:jc w:val="center"/>
        </w:trPr>
        <w:tc>
          <w:tcPr>
            <w:tcW w:w="3397" w:type="dxa"/>
          </w:tcPr>
          <w:p w:rsidR="005900C7" w:rsidP="00D8370F" w:rsidRDefault="005900C7">
            <w:r>
              <w:t>Age at entry squared</w:t>
            </w:r>
          </w:p>
        </w:tc>
        <w:tc>
          <w:tcPr>
            <w:tcW w:w="1026" w:type="dxa"/>
          </w:tcPr>
          <w:p w:rsidR="005900C7" w:rsidP="00D8370F" w:rsidRDefault="005900C7">
            <w:pPr>
              <w:jc w:val="right"/>
            </w:pPr>
            <w:r>
              <w:t>-0.001</w:t>
            </w:r>
          </w:p>
        </w:tc>
        <w:tc>
          <w:tcPr>
            <w:tcW w:w="1101" w:type="dxa"/>
            <w:gridSpan w:val="2"/>
          </w:tcPr>
          <w:p w:rsidR="005900C7" w:rsidP="00D8370F" w:rsidRDefault="005900C7">
            <w:pPr>
              <w:jc w:val="right"/>
            </w:pPr>
          </w:p>
        </w:tc>
        <w:tc>
          <w:tcPr>
            <w:tcW w:w="1026" w:type="dxa"/>
          </w:tcPr>
          <w:p w:rsidR="005900C7" w:rsidP="00D8370F" w:rsidRDefault="005900C7">
            <w:pPr>
              <w:jc w:val="right"/>
            </w:pPr>
            <w:r>
              <w:t>-0.003</w:t>
            </w:r>
            <w:r w:rsidRPr="00E77F6C">
              <w:rPr>
                <w:vertAlign w:val="superscript"/>
              </w:rPr>
              <w:t>+++</w:t>
            </w:r>
          </w:p>
        </w:tc>
        <w:tc>
          <w:tcPr>
            <w:tcW w:w="1026" w:type="dxa"/>
          </w:tcPr>
          <w:p w:rsidR="005900C7" w:rsidP="00D8370F" w:rsidRDefault="005900C7">
            <w:pPr>
              <w:jc w:val="right"/>
            </w:pPr>
          </w:p>
        </w:tc>
        <w:tc>
          <w:tcPr>
            <w:tcW w:w="1026" w:type="dxa"/>
          </w:tcPr>
          <w:p w:rsidR="005900C7" w:rsidP="00D8370F" w:rsidRDefault="005900C7">
            <w:pPr>
              <w:jc w:val="right"/>
            </w:pPr>
            <w:r>
              <w:t>-0.005</w:t>
            </w:r>
            <w:r w:rsidRPr="00AB5135">
              <w:rPr>
                <w:vertAlign w:val="superscript"/>
              </w:rPr>
              <w:t>+++</w:t>
            </w:r>
          </w:p>
        </w:tc>
        <w:tc>
          <w:tcPr>
            <w:tcW w:w="1026" w:type="dxa"/>
          </w:tcPr>
          <w:p w:rsidR="005900C7" w:rsidP="00D8370F" w:rsidRDefault="005900C7">
            <w:pPr>
              <w:jc w:val="right"/>
            </w:pPr>
          </w:p>
        </w:tc>
      </w:tr>
      <w:tr w:rsidR="005900C7" w:rsidTr="00D8370F">
        <w:trPr>
          <w:jc w:val="center"/>
        </w:trPr>
        <w:tc>
          <w:tcPr>
            <w:tcW w:w="3397" w:type="dxa"/>
          </w:tcPr>
          <w:p w:rsidR="005900C7" w:rsidP="00D8370F" w:rsidRDefault="005900C7">
            <w:r>
              <w:t>Age</w:t>
            </w:r>
          </w:p>
        </w:tc>
        <w:tc>
          <w:tcPr>
            <w:tcW w:w="1026" w:type="dxa"/>
          </w:tcPr>
          <w:p w:rsidR="005900C7" w:rsidP="00D8370F" w:rsidRDefault="005900C7">
            <w:pPr>
              <w:jc w:val="right"/>
            </w:pPr>
          </w:p>
        </w:tc>
        <w:tc>
          <w:tcPr>
            <w:tcW w:w="1101" w:type="dxa"/>
            <w:gridSpan w:val="2"/>
          </w:tcPr>
          <w:p w:rsidR="005900C7" w:rsidP="00D8370F" w:rsidRDefault="005900C7">
            <w:pPr>
              <w:jc w:val="right"/>
            </w:pPr>
            <w:r>
              <w:t>-0.074</w:t>
            </w:r>
          </w:p>
        </w:tc>
        <w:tc>
          <w:tcPr>
            <w:tcW w:w="1026" w:type="dxa"/>
          </w:tcPr>
          <w:p w:rsidR="005900C7" w:rsidP="00D8370F" w:rsidRDefault="005900C7">
            <w:pPr>
              <w:jc w:val="right"/>
            </w:pPr>
          </w:p>
        </w:tc>
        <w:tc>
          <w:tcPr>
            <w:tcW w:w="1026" w:type="dxa"/>
          </w:tcPr>
          <w:p w:rsidR="005900C7" w:rsidP="00D8370F" w:rsidRDefault="005900C7">
            <w:pPr>
              <w:jc w:val="right"/>
            </w:pPr>
            <w:r>
              <w:t>-0.013</w:t>
            </w:r>
          </w:p>
        </w:tc>
        <w:tc>
          <w:tcPr>
            <w:tcW w:w="1026" w:type="dxa"/>
          </w:tcPr>
          <w:p w:rsidR="005900C7" w:rsidP="00D8370F" w:rsidRDefault="005900C7">
            <w:pPr>
              <w:jc w:val="right"/>
            </w:pPr>
          </w:p>
        </w:tc>
        <w:tc>
          <w:tcPr>
            <w:tcW w:w="1026" w:type="dxa"/>
          </w:tcPr>
          <w:p w:rsidR="005900C7" w:rsidP="00D8370F" w:rsidRDefault="005900C7">
            <w:pPr>
              <w:jc w:val="right"/>
            </w:pPr>
            <w:r>
              <w:t>0.069</w:t>
            </w:r>
          </w:p>
        </w:tc>
      </w:tr>
      <w:tr w:rsidR="005900C7" w:rsidTr="00D8370F">
        <w:trPr>
          <w:jc w:val="center"/>
        </w:trPr>
        <w:tc>
          <w:tcPr>
            <w:tcW w:w="3397" w:type="dxa"/>
          </w:tcPr>
          <w:p w:rsidR="005900C7" w:rsidP="00D8370F" w:rsidRDefault="005900C7">
            <w:r>
              <w:t>Age squared</w:t>
            </w:r>
          </w:p>
        </w:tc>
        <w:tc>
          <w:tcPr>
            <w:tcW w:w="1026" w:type="dxa"/>
          </w:tcPr>
          <w:p w:rsidR="005900C7" w:rsidP="00D8370F" w:rsidRDefault="005900C7">
            <w:pPr>
              <w:jc w:val="right"/>
            </w:pPr>
          </w:p>
        </w:tc>
        <w:tc>
          <w:tcPr>
            <w:tcW w:w="1101" w:type="dxa"/>
            <w:gridSpan w:val="2"/>
          </w:tcPr>
          <w:p w:rsidR="005900C7" w:rsidP="00D8370F" w:rsidRDefault="005900C7">
            <w:pPr>
              <w:jc w:val="right"/>
            </w:pPr>
            <w:r>
              <w:t>0.001</w:t>
            </w:r>
          </w:p>
        </w:tc>
        <w:tc>
          <w:tcPr>
            <w:tcW w:w="1026" w:type="dxa"/>
          </w:tcPr>
          <w:p w:rsidR="005900C7" w:rsidP="00D8370F" w:rsidRDefault="005900C7">
            <w:pPr>
              <w:jc w:val="right"/>
            </w:pPr>
          </w:p>
        </w:tc>
        <w:tc>
          <w:tcPr>
            <w:tcW w:w="1026" w:type="dxa"/>
          </w:tcPr>
          <w:p w:rsidR="005900C7" w:rsidP="00D8370F" w:rsidRDefault="005900C7">
            <w:pPr>
              <w:jc w:val="right"/>
            </w:pPr>
            <w:r>
              <w:t>-0.000</w:t>
            </w:r>
          </w:p>
        </w:tc>
        <w:tc>
          <w:tcPr>
            <w:tcW w:w="1026" w:type="dxa"/>
          </w:tcPr>
          <w:p w:rsidR="005900C7" w:rsidP="00D8370F" w:rsidRDefault="005900C7">
            <w:pPr>
              <w:jc w:val="right"/>
            </w:pPr>
          </w:p>
        </w:tc>
        <w:tc>
          <w:tcPr>
            <w:tcW w:w="1026" w:type="dxa"/>
          </w:tcPr>
          <w:p w:rsidR="005900C7" w:rsidP="00D8370F" w:rsidRDefault="005900C7">
            <w:pPr>
              <w:jc w:val="right"/>
            </w:pPr>
            <w:r>
              <w:t>-0.002</w:t>
            </w:r>
          </w:p>
        </w:tc>
      </w:tr>
      <w:tr w:rsidR="005900C7" w:rsidTr="00D8370F">
        <w:trPr>
          <w:jc w:val="center"/>
        </w:trPr>
        <w:tc>
          <w:tcPr>
            <w:tcW w:w="3397" w:type="dxa"/>
          </w:tcPr>
          <w:p w:rsidR="005900C7" w:rsidP="00D8370F" w:rsidRDefault="005900C7">
            <w:r>
              <w:t>Male</w:t>
            </w:r>
          </w:p>
        </w:tc>
        <w:tc>
          <w:tcPr>
            <w:tcW w:w="1026" w:type="dxa"/>
          </w:tcPr>
          <w:p w:rsidR="005900C7" w:rsidP="00D8370F" w:rsidRDefault="005900C7">
            <w:pPr>
              <w:jc w:val="center"/>
            </w:pPr>
            <w:r>
              <w:t>0.007</w:t>
            </w:r>
          </w:p>
        </w:tc>
        <w:tc>
          <w:tcPr>
            <w:tcW w:w="1101" w:type="dxa"/>
            <w:gridSpan w:val="2"/>
          </w:tcPr>
          <w:p w:rsidR="005900C7" w:rsidP="00D8370F" w:rsidRDefault="005900C7">
            <w:pPr>
              <w:jc w:val="right"/>
            </w:pPr>
            <w:r>
              <w:t>0.000</w:t>
            </w:r>
          </w:p>
        </w:tc>
        <w:tc>
          <w:tcPr>
            <w:tcW w:w="1026" w:type="dxa"/>
          </w:tcPr>
          <w:p w:rsidR="005900C7" w:rsidP="00D8370F" w:rsidRDefault="005900C7">
            <w:pPr>
              <w:jc w:val="right"/>
            </w:pPr>
            <w:r>
              <w:t>0.025</w:t>
            </w:r>
            <w:r w:rsidRPr="00E77F6C">
              <w:rPr>
                <w:vertAlign w:val="superscript"/>
              </w:rPr>
              <w:t>+</w:t>
            </w:r>
          </w:p>
        </w:tc>
        <w:tc>
          <w:tcPr>
            <w:tcW w:w="1026" w:type="dxa"/>
          </w:tcPr>
          <w:p w:rsidR="005900C7" w:rsidP="00D8370F" w:rsidRDefault="005900C7">
            <w:pPr>
              <w:jc w:val="right"/>
            </w:pPr>
            <w:r>
              <w:t>0.011</w:t>
            </w:r>
          </w:p>
        </w:tc>
        <w:tc>
          <w:tcPr>
            <w:tcW w:w="1026" w:type="dxa"/>
          </w:tcPr>
          <w:p w:rsidR="005900C7" w:rsidP="00D8370F" w:rsidRDefault="005900C7">
            <w:pPr>
              <w:jc w:val="right"/>
            </w:pPr>
            <w:r>
              <w:t>0.025</w:t>
            </w:r>
            <w:r w:rsidRPr="00AB5135">
              <w:rPr>
                <w:vertAlign w:val="superscript"/>
              </w:rPr>
              <w:t>+</w:t>
            </w:r>
          </w:p>
        </w:tc>
        <w:tc>
          <w:tcPr>
            <w:tcW w:w="1026" w:type="dxa"/>
          </w:tcPr>
          <w:p w:rsidR="005900C7" w:rsidP="00D8370F" w:rsidRDefault="005900C7">
            <w:pPr>
              <w:jc w:val="right"/>
            </w:pPr>
            <w:r>
              <w:t>0.012</w:t>
            </w:r>
          </w:p>
        </w:tc>
      </w:tr>
      <w:tr w:rsidR="005900C7" w:rsidTr="00D8370F">
        <w:trPr>
          <w:jc w:val="center"/>
        </w:trPr>
        <w:tc>
          <w:tcPr>
            <w:tcW w:w="3397" w:type="dxa"/>
          </w:tcPr>
          <w:p w:rsidR="005900C7" w:rsidP="00D8370F" w:rsidRDefault="005900C7">
            <w:r>
              <w:t>Non-white</w:t>
            </w:r>
          </w:p>
        </w:tc>
        <w:tc>
          <w:tcPr>
            <w:tcW w:w="1026" w:type="dxa"/>
          </w:tcPr>
          <w:p w:rsidR="005900C7" w:rsidP="00D8370F" w:rsidRDefault="005900C7">
            <w:pPr>
              <w:jc w:val="right"/>
            </w:pPr>
            <w:r>
              <w:t>-0.174</w:t>
            </w:r>
            <w:r w:rsidRPr="0030332C">
              <w:rPr>
                <w:vertAlign w:val="superscript"/>
              </w:rPr>
              <w:t>+++</w:t>
            </w:r>
          </w:p>
        </w:tc>
        <w:tc>
          <w:tcPr>
            <w:tcW w:w="1101" w:type="dxa"/>
            <w:gridSpan w:val="2"/>
          </w:tcPr>
          <w:p w:rsidR="005900C7" w:rsidP="00D8370F" w:rsidRDefault="005900C7">
            <w:pPr>
              <w:jc w:val="right"/>
            </w:pPr>
            <w:r>
              <w:t>-0.074</w:t>
            </w:r>
            <w:r w:rsidRPr="00776C71">
              <w:rPr>
                <w:vertAlign w:val="superscript"/>
              </w:rPr>
              <w:t>+++</w:t>
            </w:r>
          </w:p>
        </w:tc>
        <w:tc>
          <w:tcPr>
            <w:tcW w:w="1026" w:type="dxa"/>
          </w:tcPr>
          <w:p w:rsidR="005900C7" w:rsidP="00D8370F" w:rsidRDefault="005900C7">
            <w:pPr>
              <w:jc w:val="right"/>
            </w:pPr>
            <w:r>
              <w:t>-0.199</w:t>
            </w:r>
            <w:r w:rsidRPr="00E77F6C">
              <w:rPr>
                <w:vertAlign w:val="superscript"/>
              </w:rPr>
              <w:t>+++</w:t>
            </w:r>
          </w:p>
        </w:tc>
        <w:tc>
          <w:tcPr>
            <w:tcW w:w="1026" w:type="dxa"/>
          </w:tcPr>
          <w:p w:rsidR="005900C7" w:rsidP="00D8370F" w:rsidRDefault="005900C7">
            <w:pPr>
              <w:jc w:val="right"/>
            </w:pPr>
            <w:r>
              <w:t>-0.088</w:t>
            </w:r>
            <w:r w:rsidRPr="00D92E3E">
              <w:rPr>
                <w:vertAlign w:val="superscript"/>
              </w:rPr>
              <w:t>+++</w:t>
            </w:r>
          </w:p>
        </w:tc>
        <w:tc>
          <w:tcPr>
            <w:tcW w:w="1026" w:type="dxa"/>
          </w:tcPr>
          <w:p w:rsidR="005900C7" w:rsidP="00D8370F" w:rsidRDefault="005900C7">
            <w:pPr>
              <w:jc w:val="right"/>
            </w:pPr>
            <w:r>
              <w:t>-0.146</w:t>
            </w:r>
            <w:r w:rsidRPr="00AB5135">
              <w:rPr>
                <w:vertAlign w:val="superscript"/>
              </w:rPr>
              <w:t>+++</w:t>
            </w:r>
          </w:p>
        </w:tc>
        <w:tc>
          <w:tcPr>
            <w:tcW w:w="1026" w:type="dxa"/>
          </w:tcPr>
          <w:p w:rsidR="005900C7" w:rsidP="00D8370F" w:rsidRDefault="005900C7">
            <w:pPr>
              <w:jc w:val="right"/>
            </w:pPr>
            <w:r>
              <w:t>-0.082</w:t>
            </w:r>
            <w:r w:rsidRPr="00DF1498">
              <w:rPr>
                <w:vertAlign w:val="superscript"/>
              </w:rPr>
              <w:t>+++</w:t>
            </w:r>
          </w:p>
        </w:tc>
      </w:tr>
      <w:tr w:rsidR="005900C7" w:rsidTr="00D8370F">
        <w:trPr>
          <w:jc w:val="center"/>
        </w:trPr>
        <w:tc>
          <w:tcPr>
            <w:tcW w:w="3397" w:type="dxa"/>
          </w:tcPr>
          <w:p w:rsidR="005900C7" w:rsidP="00D8370F" w:rsidRDefault="005900C7">
            <w:r>
              <w:t>Learning problem</w:t>
            </w:r>
          </w:p>
        </w:tc>
        <w:tc>
          <w:tcPr>
            <w:tcW w:w="1026" w:type="dxa"/>
          </w:tcPr>
          <w:p w:rsidR="005900C7" w:rsidP="00D8370F" w:rsidRDefault="005900C7">
            <w:pPr>
              <w:jc w:val="right"/>
            </w:pPr>
            <w:r>
              <w:t>0.059</w:t>
            </w:r>
            <w:r w:rsidRPr="0030332C">
              <w:rPr>
                <w:vertAlign w:val="superscript"/>
              </w:rPr>
              <w:t>++</w:t>
            </w:r>
          </w:p>
        </w:tc>
        <w:tc>
          <w:tcPr>
            <w:tcW w:w="1101" w:type="dxa"/>
            <w:gridSpan w:val="2"/>
          </w:tcPr>
          <w:p w:rsidR="005900C7" w:rsidP="00D8370F" w:rsidRDefault="005900C7">
            <w:pPr>
              <w:jc w:val="right"/>
            </w:pPr>
            <w:r>
              <w:t>0.002</w:t>
            </w:r>
          </w:p>
        </w:tc>
        <w:tc>
          <w:tcPr>
            <w:tcW w:w="1026" w:type="dxa"/>
          </w:tcPr>
          <w:p w:rsidR="005900C7" w:rsidP="00D8370F" w:rsidRDefault="005900C7">
            <w:pPr>
              <w:jc w:val="right"/>
            </w:pPr>
            <w:r>
              <w:t>0.091</w:t>
            </w:r>
            <w:r w:rsidRPr="00E77F6C">
              <w:rPr>
                <w:vertAlign w:val="superscript"/>
              </w:rPr>
              <w:t>+++</w:t>
            </w:r>
          </w:p>
        </w:tc>
        <w:tc>
          <w:tcPr>
            <w:tcW w:w="1026" w:type="dxa"/>
          </w:tcPr>
          <w:p w:rsidR="005900C7" w:rsidP="00D8370F" w:rsidRDefault="005900C7">
            <w:pPr>
              <w:jc w:val="right"/>
            </w:pPr>
            <w:r>
              <w:t>0.044</w:t>
            </w:r>
          </w:p>
        </w:tc>
        <w:tc>
          <w:tcPr>
            <w:tcW w:w="1026" w:type="dxa"/>
          </w:tcPr>
          <w:p w:rsidR="005900C7" w:rsidP="00D8370F" w:rsidRDefault="005900C7">
            <w:pPr>
              <w:jc w:val="right"/>
            </w:pPr>
            <w:r>
              <w:t>0.043</w:t>
            </w:r>
          </w:p>
        </w:tc>
        <w:tc>
          <w:tcPr>
            <w:tcW w:w="1026" w:type="dxa"/>
          </w:tcPr>
          <w:p w:rsidR="005900C7" w:rsidP="00D8370F" w:rsidRDefault="005900C7">
            <w:pPr>
              <w:jc w:val="right"/>
            </w:pPr>
            <w:r>
              <w:t>0.032</w:t>
            </w:r>
          </w:p>
        </w:tc>
      </w:tr>
      <w:tr w:rsidR="005900C7" w:rsidTr="00D8370F">
        <w:trPr>
          <w:jc w:val="center"/>
        </w:trPr>
        <w:tc>
          <w:tcPr>
            <w:tcW w:w="3397" w:type="dxa"/>
          </w:tcPr>
          <w:p w:rsidR="005900C7" w:rsidP="00D8370F" w:rsidRDefault="005900C7">
            <w:r>
              <w:t>University choices</w:t>
            </w:r>
          </w:p>
        </w:tc>
        <w:tc>
          <w:tcPr>
            <w:tcW w:w="1026" w:type="dxa"/>
          </w:tcPr>
          <w:p w:rsidR="005900C7" w:rsidP="00D8370F" w:rsidRDefault="005900C7">
            <w:pPr>
              <w:jc w:val="right"/>
            </w:pPr>
            <w:r>
              <w:t>-0.164</w:t>
            </w:r>
            <w:r w:rsidRPr="0030332C">
              <w:rPr>
                <w:vertAlign w:val="superscript"/>
              </w:rPr>
              <w:t>+++</w:t>
            </w:r>
          </w:p>
        </w:tc>
        <w:tc>
          <w:tcPr>
            <w:tcW w:w="1101" w:type="dxa"/>
            <w:gridSpan w:val="2"/>
          </w:tcPr>
          <w:p w:rsidR="005900C7" w:rsidP="00D8370F" w:rsidRDefault="005900C7">
            <w:pPr>
              <w:jc w:val="right"/>
            </w:pPr>
          </w:p>
        </w:tc>
        <w:tc>
          <w:tcPr>
            <w:tcW w:w="1026" w:type="dxa"/>
          </w:tcPr>
          <w:p w:rsidR="005900C7" w:rsidP="00D8370F" w:rsidRDefault="005900C7">
            <w:pPr>
              <w:jc w:val="right"/>
            </w:pPr>
            <w:r>
              <w:t>-0.125</w:t>
            </w:r>
            <w:r w:rsidRPr="00E77F6C">
              <w:rPr>
                <w:vertAlign w:val="superscript"/>
              </w:rPr>
              <w:t>+++</w:t>
            </w:r>
          </w:p>
        </w:tc>
        <w:tc>
          <w:tcPr>
            <w:tcW w:w="1026" w:type="dxa"/>
          </w:tcPr>
          <w:p w:rsidR="005900C7" w:rsidP="00D8370F" w:rsidRDefault="005900C7">
            <w:pPr>
              <w:jc w:val="right"/>
            </w:pPr>
          </w:p>
        </w:tc>
        <w:tc>
          <w:tcPr>
            <w:tcW w:w="1026" w:type="dxa"/>
          </w:tcPr>
          <w:p w:rsidR="005900C7" w:rsidP="00D8370F" w:rsidRDefault="005900C7">
            <w:pPr>
              <w:jc w:val="right"/>
            </w:pPr>
            <w:r>
              <w:t>-0.078</w:t>
            </w:r>
            <w:r w:rsidRPr="00AB5135">
              <w:rPr>
                <w:vertAlign w:val="superscript"/>
              </w:rPr>
              <w:t>+++</w:t>
            </w:r>
          </w:p>
        </w:tc>
        <w:tc>
          <w:tcPr>
            <w:tcW w:w="1026" w:type="dxa"/>
          </w:tcPr>
          <w:p w:rsidR="005900C7" w:rsidP="00D8370F" w:rsidRDefault="005900C7">
            <w:pPr>
              <w:jc w:val="right"/>
            </w:pPr>
          </w:p>
        </w:tc>
      </w:tr>
      <w:tr w:rsidR="005900C7" w:rsidTr="00D8370F">
        <w:trPr>
          <w:jc w:val="center"/>
        </w:trPr>
        <w:tc>
          <w:tcPr>
            <w:tcW w:w="3397" w:type="dxa"/>
          </w:tcPr>
          <w:p w:rsidR="005900C7" w:rsidP="00D8370F" w:rsidRDefault="005900C7">
            <w:r>
              <w:t>University choices squared</w:t>
            </w:r>
          </w:p>
        </w:tc>
        <w:tc>
          <w:tcPr>
            <w:tcW w:w="1026" w:type="dxa"/>
          </w:tcPr>
          <w:p w:rsidR="005900C7" w:rsidP="00D8370F" w:rsidRDefault="005900C7">
            <w:pPr>
              <w:jc w:val="right"/>
            </w:pPr>
            <w:r>
              <w:t>0.000</w:t>
            </w:r>
          </w:p>
        </w:tc>
        <w:tc>
          <w:tcPr>
            <w:tcW w:w="1101" w:type="dxa"/>
            <w:gridSpan w:val="2"/>
          </w:tcPr>
          <w:p w:rsidR="005900C7" w:rsidP="00D8370F" w:rsidRDefault="005900C7">
            <w:pPr>
              <w:jc w:val="right"/>
            </w:pPr>
          </w:p>
        </w:tc>
        <w:tc>
          <w:tcPr>
            <w:tcW w:w="1026" w:type="dxa"/>
          </w:tcPr>
          <w:p w:rsidR="005900C7" w:rsidP="00D8370F" w:rsidRDefault="005900C7">
            <w:pPr>
              <w:jc w:val="right"/>
            </w:pPr>
            <w:r>
              <w:t>-0.000</w:t>
            </w:r>
          </w:p>
        </w:tc>
        <w:tc>
          <w:tcPr>
            <w:tcW w:w="1026" w:type="dxa"/>
          </w:tcPr>
          <w:p w:rsidR="005900C7" w:rsidP="00D8370F" w:rsidRDefault="005900C7">
            <w:pPr>
              <w:jc w:val="right"/>
            </w:pPr>
          </w:p>
        </w:tc>
        <w:tc>
          <w:tcPr>
            <w:tcW w:w="1026" w:type="dxa"/>
          </w:tcPr>
          <w:p w:rsidR="005900C7" w:rsidP="00D8370F" w:rsidRDefault="005900C7">
            <w:pPr>
              <w:jc w:val="right"/>
            </w:pPr>
            <w:r>
              <w:t>-0.001</w:t>
            </w:r>
            <w:r w:rsidRPr="00AB5135">
              <w:rPr>
                <w:vertAlign w:val="superscript"/>
              </w:rPr>
              <w:t>+++</w:t>
            </w:r>
          </w:p>
        </w:tc>
        <w:tc>
          <w:tcPr>
            <w:tcW w:w="1026" w:type="dxa"/>
          </w:tcPr>
          <w:p w:rsidR="005900C7" w:rsidP="00D8370F" w:rsidRDefault="005900C7">
            <w:pPr>
              <w:jc w:val="right"/>
            </w:pPr>
          </w:p>
        </w:tc>
      </w:tr>
      <w:tr w:rsidR="005900C7" w:rsidTr="00D8370F">
        <w:trPr>
          <w:jc w:val="center"/>
        </w:trPr>
        <w:tc>
          <w:tcPr>
            <w:tcW w:w="3397" w:type="dxa"/>
          </w:tcPr>
          <w:p w:rsidR="005900C7" w:rsidP="00D8370F" w:rsidRDefault="005900C7">
            <w:r>
              <w:t>University research quality</w:t>
            </w:r>
          </w:p>
        </w:tc>
        <w:tc>
          <w:tcPr>
            <w:tcW w:w="1026" w:type="dxa"/>
          </w:tcPr>
          <w:p w:rsidR="005900C7" w:rsidP="00D8370F" w:rsidRDefault="005900C7">
            <w:pPr>
              <w:jc w:val="right"/>
            </w:pPr>
            <w:r>
              <w:t>0.012</w:t>
            </w:r>
          </w:p>
        </w:tc>
        <w:tc>
          <w:tcPr>
            <w:tcW w:w="1101" w:type="dxa"/>
            <w:gridSpan w:val="2"/>
          </w:tcPr>
          <w:p w:rsidR="005900C7" w:rsidP="00D8370F" w:rsidRDefault="005900C7">
            <w:pPr>
              <w:jc w:val="right"/>
            </w:pPr>
            <w:r>
              <w:t>-0.007</w:t>
            </w:r>
          </w:p>
        </w:tc>
        <w:tc>
          <w:tcPr>
            <w:tcW w:w="1026" w:type="dxa"/>
          </w:tcPr>
          <w:p w:rsidR="005900C7" w:rsidP="00D8370F" w:rsidRDefault="005900C7">
            <w:pPr>
              <w:jc w:val="right"/>
            </w:pPr>
            <w:r>
              <w:t>0.049</w:t>
            </w:r>
            <w:r w:rsidRPr="00E77F6C">
              <w:rPr>
                <w:vertAlign w:val="superscript"/>
              </w:rPr>
              <w:t>+++</w:t>
            </w:r>
          </w:p>
        </w:tc>
        <w:tc>
          <w:tcPr>
            <w:tcW w:w="1026" w:type="dxa"/>
          </w:tcPr>
          <w:p w:rsidR="005900C7" w:rsidP="00D8370F" w:rsidRDefault="005900C7">
            <w:pPr>
              <w:jc w:val="right"/>
            </w:pPr>
            <w:r>
              <w:t>0.011</w:t>
            </w:r>
          </w:p>
        </w:tc>
        <w:tc>
          <w:tcPr>
            <w:tcW w:w="1026" w:type="dxa"/>
          </w:tcPr>
          <w:p w:rsidR="005900C7" w:rsidP="00D8370F" w:rsidRDefault="005900C7">
            <w:pPr>
              <w:jc w:val="right"/>
            </w:pPr>
            <w:r>
              <w:t>0.060</w:t>
            </w:r>
            <w:r w:rsidRPr="00576C90">
              <w:rPr>
                <w:vertAlign w:val="superscript"/>
              </w:rPr>
              <w:t>+++</w:t>
            </w:r>
          </w:p>
        </w:tc>
        <w:tc>
          <w:tcPr>
            <w:tcW w:w="1026" w:type="dxa"/>
          </w:tcPr>
          <w:p w:rsidR="005900C7" w:rsidP="00D8370F" w:rsidRDefault="005900C7">
            <w:pPr>
              <w:jc w:val="right"/>
            </w:pPr>
            <w:r>
              <w:t>0.030</w:t>
            </w:r>
            <w:r w:rsidRPr="00DF1498">
              <w:rPr>
                <w:vertAlign w:val="superscript"/>
              </w:rPr>
              <w:t>+++</w:t>
            </w:r>
          </w:p>
        </w:tc>
      </w:tr>
      <w:tr w:rsidR="005900C7" w:rsidTr="00D8370F">
        <w:trPr>
          <w:jc w:val="center"/>
        </w:trPr>
        <w:tc>
          <w:tcPr>
            <w:tcW w:w="3397" w:type="dxa"/>
          </w:tcPr>
          <w:p w:rsidRPr="007D0843" w:rsidR="005900C7" w:rsidP="00D8370F" w:rsidRDefault="005900C7">
            <w:pPr>
              <w:rPr>
                <w:i/>
              </w:rPr>
            </w:pPr>
            <w:r w:rsidRPr="007D0843">
              <w:rPr>
                <w:i/>
              </w:rPr>
              <w:t>Institution type</w:t>
            </w:r>
          </w:p>
          <w:p w:rsidR="005900C7" w:rsidP="00D8370F" w:rsidRDefault="005900C7">
            <w:r>
              <w:t>Russell Group</w:t>
            </w:r>
          </w:p>
          <w:p w:rsidR="005900C7" w:rsidP="00D8370F" w:rsidRDefault="005900C7">
            <w:r>
              <w:t>1994 Group</w:t>
            </w:r>
          </w:p>
          <w:p w:rsidR="005900C7" w:rsidP="00D8370F" w:rsidRDefault="005900C7">
            <w:r>
              <w:t>Pre-1992</w:t>
            </w:r>
          </w:p>
          <w:p w:rsidR="005900C7" w:rsidP="00D8370F" w:rsidRDefault="005900C7">
            <w:r>
              <w:t>Other</w:t>
            </w:r>
          </w:p>
        </w:tc>
        <w:tc>
          <w:tcPr>
            <w:tcW w:w="1026" w:type="dxa"/>
          </w:tcPr>
          <w:p w:rsidR="005900C7" w:rsidP="00D8370F" w:rsidRDefault="005900C7">
            <w:pPr>
              <w:jc w:val="right"/>
            </w:pPr>
          </w:p>
          <w:p w:rsidR="005900C7" w:rsidP="00D8370F" w:rsidRDefault="005900C7">
            <w:pPr>
              <w:jc w:val="right"/>
            </w:pPr>
            <w:r>
              <w:t>(E)</w:t>
            </w:r>
          </w:p>
          <w:p w:rsidR="005900C7" w:rsidP="00D8370F" w:rsidRDefault="005900C7">
            <w:pPr>
              <w:jc w:val="right"/>
            </w:pPr>
            <w:r>
              <w:t>0.056</w:t>
            </w:r>
            <w:r w:rsidRPr="003D5A73">
              <w:rPr>
                <w:vertAlign w:val="superscript"/>
              </w:rPr>
              <w:t>++</w:t>
            </w:r>
          </w:p>
          <w:p w:rsidR="005900C7" w:rsidP="00D8370F" w:rsidRDefault="005900C7">
            <w:pPr>
              <w:jc w:val="right"/>
            </w:pPr>
            <w:r>
              <w:t>-0.088</w:t>
            </w:r>
            <w:r w:rsidRPr="003D5A73">
              <w:rPr>
                <w:vertAlign w:val="superscript"/>
              </w:rPr>
              <w:t>+++</w:t>
            </w:r>
          </w:p>
          <w:p w:rsidR="005900C7" w:rsidP="00D8370F" w:rsidRDefault="005900C7">
            <w:pPr>
              <w:jc w:val="right"/>
            </w:pPr>
            <w:r>
              <w:t>-0.104</w:t>
            </w:r>
            <w:r w:rsidRPr="003D5A73">
              <w:rPr>
                <w:vertAlign w:val="superscript"/>
              </w:rPr>
              <w:t>+++</w:t>
            </w:r>
          </w:p>
        </w:tc>
        <w:tc>
          <w:tcPr>
            <w:tcW w:w="1101" w:type="dxa"/>
            <w:gridSpan w:val="2"/>
          </w:tcPr>
          <w:p w:rsidR="005900C7" w:rsidP="00D8370F" w:rsidRDefault="005900C7">
            <w:pPr>
              <w:jc w:val="right"/>
            </w:pPr>
          </w:p>
          <w:p w:rsidR="005900C7" w:rsidP="00D8370F" w:rsidRDefault="005900C7">
            <w:pPr>
              <w:jc w:val="right"/>
            </w:pPr>
            <w:r>
              <w:t>(E)</w:t>
            </w:r>
          </w:p>
          <w:p w:rsidR="005900C7" w:rsidP="00D8370F" w:rsidRDefault="005900C7">
            <w:pPr>
              <w:jc w:val="right"/>
            </w:pPr>
            <w:r>
              <w:t>0.092</w:t>
            </w:r>
            <w:r w:rsidRPr="00776C71">
              <w:rPr>
                <w:vertAlign w:val="superscript"/>
              </w:rPr>
              <w:t>+++</w:t>
            </w:r>
          </w:p>
          <w:p w:rsidR="005900C7" w:rsidP="00D8370F" w:rsidRDefault="005900C7">
            <w:pPr>
              <w:jc w:val="right"/>
            </w:pPr>
            <w:r>
              <w:t>-0.002</w:t>
            </w:r>
          </w:p>
          <w:p w:rsidR="005900C7" w:rsidP="00D8370F" w:rsidRDefault="005900C7">
            <w:pPr>
              <w:jc w:val="right"/>
            </w:pPr>
            <w:r>
              <w:t>-0.089</w:t>
            </w:r>
            <w:r w:rsidRPr="00776C71">
              <w:rPr>
                <w:vertAlign w:val="superscript"/>
              </w:rPr>
              <w:t>+++</w:t>
            </w:r>
          </w:p>
        </w:tc>
        <w:tc>
          <w:tcPr>
            <w:tcW w:w="1026" w:type="dxa"/>
          </w:tcPr>
          <w:p w:rsidR="005900C7" w:rsidP="00D8370F" w:rsidRDefault="005900C7">
            <w:pPr>
              <w:jc w:val="right"/>
            </w:pPr>
          </w:p>
          <w:p w:rsidR="005900C7" w:rsidP="00D8370F" w:rsidRDefault="005900C7">
            <w:pPr>
              <w:jc w:val="right"/>
            </w:pPr>
            <w:r>
              <w:t>(E)</w:t>
            </w:r>
          </w:p>
          <w:p w:rsidR="005900C7" w:rsidP="00D8370F" w:rsidRDefault="005900C7">
            <w:pPr>
              <w:jc w:val="right"/>
            </w:pPr>
            <w:r>
              <w:t>0.052</w:t>
            </w:r>
            <w:r w:rsidRPr="00E77F6C">
              <w:rPr>
                <w:vertAlign w:val="superscript"/>
              </w:rPr>
              <w:t>+</w:t>
            </w:r>
          </w:p>
          <w:p w:rsidR="005900C7" w:rsidP="00D8370F" w:rsidRDefault="005900C7">
            <w:pPr>
              <w:jc w:val="right"/>
            </w:pPr>
            <w:r>
              <w:t>-0.122</w:t>
            </w:r>
            <w:r w:rsidRPr="00E77F6C">
              <w:rPr>
                <w:vertAlign w:val="superscript"/>
              </w:rPr>
              <w:t>+++</w:t>
            </w:r>
          </w:p>
          <w:p w:rsidR="005900C7" w:rsidP="00D8370F" w:rsidRDefault="005900C7">
            <w:pPr>
              <w:jc w:val="right"/>
            </w:pPr>
            <w:r>
              <w:t>-0.085</w:t>
            </w:r>
            <w:r w:rsidRPr="00E77F6C">
              <w:rPr>
                <w:vertAlign w:val="superscript"/>
              </w:rPr>
              <w:t>+++</w:t>
            </w:r>
          </w:p>
        </w:tc>
        <w:tc>
          <w:tcPr>
            <w:tcW w:w="1026" w:type="dxa"/>
          </w:tcPr>
          <w:p w:rsidR="005900C7" w:rsidP="00D8370F" w:rsidRDefault="005900C7">
            <w:pPr>
              <w:jc w:val="right"/>
            </w:pPr>
          </w:p>
          <w:p w:rsidR="005900C7" w:rsidP="00D8370F" w:rsidRDefault="005900C7">
            <w:pPr>
              <w:jc w:val="right"/>
            </w:pPr>
            <w:r>
              <w:t>(E)</w:t>
            </w:r>
          </w:p>
          <w:p w:rsidR="005900C7" w:rsidP="00D8370F" w:rsidRDefault="005900C7">
            <w:pPr>
              <w:jc w:val="right"/>
            </w:pPr>
            <w:r>
              <w:t>0.064</w:t>
            </w:r>
            <w:r w:rsidRPr="00D92E3E">
              <w:rPr>
                <w:vertAlign w:val="superscript"/>
              </w:rPr>
              <w:t>++</w:t>
            </w:r>
          </w:p>
          <w:p w:rsidR="005900C7" w:rsidP="00D8370F" w:rsidRDefault="005900C7">
            <w:pPr>
              <w:jc w:val="right"/>
            </w:pPr>
            <w:r>
              <w:t>-0.043</w:t>
            </w:r>
            <w:r w:rsidRPr="00D92E3E">
              <w:rPr>
                <w:vertAlign w:val="superscript"/>
              </w:rPr>
              <w:t>++</w:t>
            </w:r>
          </w:p>
          <w:p w:rsidR="005900C7" w:rsidP="00D8370F" w:rsidRDefault="005900C7">
            <w:pPr>
              <w:jc w:val="right"/>
            </w:pPr>
            <w:r>
              <w:t>-0.109</w:t>
            </w:r>
            <w:r w:rsidRPr="00D92E3E">
              <w:rPr>
                <w:vertAlign w:val="superscript"/>
              </w:rPr>
              <w:t>+++</w:t>
            </w:r>
          </w:p>
        </w:tc>
        <w:tc>
          <w:tcPr>
            <w:tcW w:w="1026" w:type="dxa"/>
          </w:tcPr>
          <w:p w:rsidR="005900C7" w:rsidP="00D8370F" w:rsidRDefault="005900C7">
            <w:pPr>
              <w:jc w:val="right"/>
            </w:pPr>
          </w:p>
          <w:p w:rsidR="005900C7" w:rsidP="00D8370F" w:rsidRDefault="005900C7">
            <w:pPr>
              <w:jc w:val="right"/>
            </w:pPr>
            <w:r>
              <w:t>(E)</w:t>
            </w:r>
          </w:p>
          <w:p w:rsidR="005900C7" w:rsidP="00D8370F" w:rsidRDefault="005900C7">
            <w:pPr>
              <w:jc w:val="right"/>
            </w:pPr>
            <w:r>
              <w:t>0.015</w:t>
            </w:r>
          </w:p>
          <w:p w:rsidR="005900C7" w:rsidP="00D8370F" w:rsidRDefault="005900C7">
            <w:pPr>
              <w:jc w:val="right"/>
            </w:pPr>
            <w:r>
              <w:t>-0.139</w:t>
            </w:r>
            <w:r w:rsidRPr="00576C90">
              <w:rPr>
                <w:vertAlign w:val="superscript"/>
              </w:rPr>
              <w:t>+++</w:t>
            </w:r>
          </w:p>
          <w:p w:rsidR="005900C7" w:rsidP="00D8370F" w:rsidRDefault="005900C7">
            <w:pPr>
              <w:jc w:val="right"/>
            </w:pPr>
            <w:r>
              <w:t>-0.041</w:t>
            </w:r>
          </w:p>
        </w:tc>
        <w:tc>
          <w:tcPr>
            <w:tcW w:w="1026" w:type="dxa"/>
          </w:tcPr>
          <w:p w:rsidR="005900C7" w:rsidP="00D8370F" w:rsidRDefault="005900C7">
            <w:pPr>
              <w:jc w:val="right"/>
            </w:pPr>
          </w:p>
          <w:p w:rsidR="005900C7" w:rsidP="00D8370F" w:rsidRDefault="005900C7">
            <w:pPr>
              <w:jc w:val="right"/>
            </w:pPr>
            <w:r>
              <w:t>(E)</w:t>
            </w:r>
          </w:p>
          <w:p w:rsidR="005900C7" w:rsidP="00D8370F" w:rsidRDefault="005900C7">
            <w:pPr>
              <w:jc w:val="right"/>
            </w:pPr>
            <w:r>
              <w:t>0.047</w:t>
            </w:r>
            <w:r w:rsidRPr="00DF1498">
              <w:rPr>
                <w:vertAlign w:val="superscript"/>
              </w:rPr>
              <w:t>++</w:t>
            </w:r>
          </w:p>
          <w:p w:rsidR="005900C7" w:rsidP="00D8370F" w:rsidRDefault="005900C7">
            <w:pPr>
              <w:jc w:val="right"/>
            </w:pPr>
            <w:r>
              <w:t>-0.056</w:t>
            </w:r>
            <w:r w:rsidRPr="00DF1498">
              <w:rPr>
                <w:vertAlign w:val="superscript"/>
              </w:rPr>
              <w:t>+++</w:t>
            </w:r>
          </w:p>
          <w:p w:rsidR="005900C7" w:rsidP="00D8370F" w:rsidRDefault="005900C7">
            <w:pPr>
              <w:jc w:val="right"/>
            </w:pPr>
            <w:r>
              <w:t>-0.042</w:t>
            </w:r>
            <w:r w:rsidRPr="00DF1498">
              <w:rPr>
                <w:vertAlign w:val="superscript"/>
              </w:rPr>
              <w:t>+</w:t>
            </w:r>
          </w:p>
        </w:tc>
      </w:tr>
      <w:tr w:rsidR="005900C7" w:rsidTr="00D8370F">
        <w:trPr>
          <w:jc w:val="center"/>
        </w:trPr>
        <w:tc>
          <w:tcPr>
            <w:tcW w:w="3397" w:type="dxa"/>
          </w:tcPr>
          <w:p w:rsidRPr="00267A0D" w:rsidR="005900C7" w:rsidP="00D8370F" w:rsidRDefault="005900C7">
            <w:pPr>
              <w:rPr>
                <w:i/>
              </w:rPr>
            </w:pPr>
            <w:r>
              <w:rPr>
                <w:i/>
              </w:rPr>
              <w:t>Labour market characteristics</w:t>
            </w:r>
          </w:p>
          <w:p w:rsidR="005900C7" w:rsidP="00D8370F" w:rsidRDefault="005900C7">
            <w:r>
              <w:t>Distance from London x10</w:t>
            </w:r>
            <w:r w:rsidRPr="00856973">
              <w:rPr>
                <w:vertAlign w:val="superscript"/>
              </w:rPr>
              <w:t>3</w:t>
            </w:r>
          </w:p>
          <w:p w:rsidR="005900C7" w:rsidP="00D8370F" w:rsidRDefault="005900C7">
            <w:r>
              <w:t>Population density (work)x10</w:t>
            </w:r>
            <w:r w:rsidRPr="00D833FC">
              <w:rPr>
                <w:vertAlign w:val="superscript"/>
              </w:rPr>
              <w:t>3</w:t>
            </w:r>
          </w:p>
          <w:p w:rsidRPr="003276E0" w:rsidR="005900C7" w:rsidP="00D8370F" w:rsidRDefault="005900C7">
            <w:r>
              <w:t>Economic activity (work)</w:t>
            </w:r>
          </w:p>
          <w:p w:rsidRPr="003276E0" w:rsidR="005900C7" w:rsidP="00D8370F" w:rsidRDefault="005900C7">
            <w:r>
              <w:t>Professional  earnings (work)</w:t>
            </w:r>
          </w:p>
          <w:p w:rsidR="005900C7" w:rsidP="00D8370F" w:rsidRDefault="005900C7">
            <w:r>
              <w:t>Population density (university) x10</w:t>
            </w:r>
            <w:r w:rsidRPr="00D833FC">
              <w:rPr>
                <w:vertAlign w:val="superscript"/>
              </w:rPr>
              <w:t>3</w:t>
            </w:r>
          </w:p>
          <w:p w:rsidRPr="003276E0" w:rsidR="005900C7" w:rsidP="00D8370F" w:rsidRDefault="005900C7">
            <w:r>
              <w:t>Economic activity (university)</w:t>
            </w:r>
          </w:p>
          <w:p w:rsidRPr="003276E0" w:rsidR="005900C7" w:rsidP="00D8370F" w:rsidRDefault="005900C7">
            <w:r>
              <w:t>Professional earnings (university)</w:t>
            </w:r>
          </w:p>
        </w:tc>
        <w:tc>
          <w:tcPr>
            <w:tcW w:w="1026" w:type="dxa"/>
          </w:tcPr>
          <w:p w:rsidR="005900C7" w:rsidP="00D8370F" w:rsidRDefault="005900C7">
            <w:pPr>
              <w:jc w:val="right"/>
            </w:pPr>
          </w:p>
          <w:p w:rsidR="005900C7" w:rsidP="00D8370F" w:rsidRDefault="005900C7">
            <w:pPr>
              <w:jc w:val="right"/>
            </w:pPr>
          </w:p>
          <w:p w:rsidR="005900C7" w:rsidP="00D8370F" w:rsidRDefault="005900C7">
            <w:pPr>
              <w:jc w:val="right"/>
            </w:pPr>
          </w:p>
          <w:p w:rsidR="005900C7" w:rsidP="00D8370F" w:rsidRDefault="005900C7">
            <w:pPr>
              <w:jc w:val="right"/>
            </w:pPr>
          </w:p>
          <w:p w:rsidR="005900C7" w:rsidP="00D8370F" w:rsidRDefault="005900C7">
            <w:pPr>
              <w:jc w:val="right"/>
            </w:pPr>
          </w:p>
          <w:p w:rsidR="005900C7" w:rsidP="00D8370F" w:rsidRDefault="005900C7">
            <w:pPr>
              <w:jc w:val="right"/>
            </w:pPr>
          </w:p>
          <w:p w:rsidR="005900C7" w:rsidP="00D8370F" w:rsidRDefault="005900C7">
            <w:pPr>
              <w:jc w:val="right"/>
            </w:pPr>
          </w:p>
          <w:p w:rsidR="005900C7" w:rsidP="00D8370F" w:rsidRDefault="005900C7">
            <w:pPr>
              <w:jc w:val="right"/>
            </w:pPr>
          </w:p>
        </w:tc>
        <w:tc>
          <w:tcPr>
            <w:tcW w:w="1101" w:type="dxa"/>
            <w:gridSpan w:val="2"/>
          </w:tcPr>
          <w:p w:rsidR="005900C7" w:rsidP="00D8370F" w:rsidRDefault="005900C7">
            <w:pPr>
              <w:jc w:val="right"/>
            </w:pPr>
          </w:p>
          <w:p w:rsidR="005900C7" w:rsidP="00D8370F" w:rsidRDefault="005900C7">
            <w:pPr>
              <w:jc w:val="right"/>
            </w:pPr>
            <w:r>
              <w:t>-0.296</w:t>
            </w:r>
            <w:r w:rsidRPr="00856973">
              <w:rPr>
                <w:vertAlign w:val="superscript"/>
              </w:rPr>
              <w:t>+++</w:t>
            </w:r>
          </w:p>
          <w:p w:rsidR="005900C7" w:rsidP="00D8370F" w:rsidRDefault="005900C7">
            <w:pPr>
              <w:jc w:val="right"/>
            </w:pPr>
            <w:r>
              <w:t>-0.018</w:t>
            </w:r>
          </w:p>
          <w:p w:rsidR="005900C7" w:rsidP="00D8370F" w:rsidRDefault="005900C7">
            <w:pPr>
              <w:jc w:val="right"/>
            </w:pPr>
            <w:r>
              <w:t>0.036</w:t>
            </w:r>
          </w:p>
          <w:p w:rsidR="005900C7" w:rsidP="00D8370F" w:rsidRDefault="005900C7">
            <w:pPr>
              <w:jc w:val="right"/>
            </w:pPr>
            <w:r>
              <w:t>0.001</w:t>
            </w:r>
          </w:p>
          <w:p w:rsidR="005900C7" w:rsidP="00D8370F" w:rsidRDefault="005900C7">
            <w:pPr>
              <w:jc w:val="right"/>
            </w:pPr>
            <w:r>
              <w:t>-0.024</w:t>
            </w:r>
          </w:p>
          <w:p w:rsidR="005900C7" w:rsidP="00D8370F" w:rsidRDefault="005900C7">
            <w:pPr>
              <w:jc w:val="right"/>
            </w:pPr>
            <w:r>
              <w:t>0.004</w:t>
            </w:r>
          </w:p>
          <w:p w:rsidR="005900C7" w:rsidP="00D8370F" w:rsidRDefault="005900C7">
            <w:pPr>
              <w:jc w:val="right"/>
            </w:pPr>
            <w:r>
              <w:t>-0.001</w:t>
            </w:r>
          </w:p>
        </w:tc>
        <w:tc>
          <w:tcPr>
            <w:tcW w:w="1026" w:type="dxa"/>
          </w:tcPr>
          <w:p w:rsidR="005900C7" w:rsidP="00D8370F" w:rsidRDefault="005900C7">
            <w:pPr>
              <w:jc w:val="right"/>
            </w:pPr>
          </w:p>
        </w:tc>
        <w:tc>
          <w:tcPr>
            <w:tcW w:w="1026" w:type="dxa"/>
          </w:tcPr>
          <w:p w:rsidR="005900C7" w:rsidP="00D8370F" w:rsidRDefault="005900C7">
            <w:pPr>
              <w:jc w:val="right"/>
            </w:pPr>
          </w:p>
          <w:p w:rsidR="005900C7" w:rsidP="00D8370F" w:rsidRDefault="005900C7">
            <w:pPr>
              <w:jc w:val="right"/>
            </w:pPr>
            <w:r>
              <w:t>0.119</w:t>
            </w:r>
          </w:p>
          <w:p w:rsidR="005900C7" w:rsidP="00D8370F" w:rsidRDefault="005900C7">
            <w:pPr>
              <w:jc w:val="right"/>
            </w:pPr>
            <w:r>
              <w:t>0.000</w:t>
            </w:r>
          </w:p>
          <w:p w:rsidR="005900C7" w:rsidP="00D8370F" w:rsidRDefault="005900C7">
            <w:pPr>
              <w:jc w:val="right"/>
            </w:pPr>
            <w:r>
              <w:t>0.032</w:t>
            </w:r>
            <w:r w:rsidRPr="00D92E3E">
              <w:rPr>
                <w:vertAlign w:val="superscript"/>
              </w:rPr>
              <w:t>+++</w:t>
            </w:r>
          </w:p>
          <w:p w:rsidR="005900C7" w:rsidP="00D8370F" w:rsidRDefault="005900C7">
            <w:pPr>
              <w:jc w:val="right"/>
            </w:pPr>
            <w:r>
              <w:t>0.001</w:t>
            </w:r>
            <w:r w:rsidRPr="00D92E3E">
              <w:rPr>
                <w:vertAlign w:val="superscript"/>
              </w:rPr>
              <w:t>++</w:t>
            </w:r>
          </w:p>
          <w:p w:rsidR="005900C7" w:rsidP="00D8370F" w:rsidRDefault="005900C7">
            <w:pPr>
              <w:jc w:val="right"/>
            </w:pPr>
            <w:r>
              <w:t>0.044</w:t>
            </w:r>
            <w:r w:rsidRPr="00D92E3E">
              <w:rPr>
                <w:vertAlign w:val="superscript"/>
              </w:rPr>
              <w:t>++</w:t>
            </w:r>
          </w:p>
          <w:p w:rsidR="005900C7" w:rsidP="00D8370F" w:rsidRDefault="005900C7">
            <w:pPr>
              <w:jc w:val="right"/>
            </w:pPr>
            <w:r>
              <w:t>0.009</w:t>
            </w:r>
            <w:r w:rsidRPr="00D92E3E">
              <w:rPr>
                <w:vertAlign w:val="superscript"/>
              </w:rPr>
              <w:t>++</w:t>
            </w:r>
          </w:p>
          <w:p w:rsidR="005900C7" w:rsidP="00D8370F" w:rsidRDefault="005900C7">
            <w:pPr>
              <w:jc w:val="right"/>
            </w:pPr>
            <w:r>
              <w:t>-0.002</w:t>
            </w:r>
            <w:r w:rsidRPr="00D92E3E">
              <w:rPr>
                <w:vertAlign w:val="superscript"/>
              </w:rPr>
              <w:t>+++</w:t>
            </w:r>
          </w:p>
        </w:tc>
        <w:tc>
          <w:tcPr>
            <w:tcW w:w="1026" w:type="dxa"/>
          </w:tcPr>
          <w:p w:rsidR="005900C7" w:rsidP="00D8370F" w:rsidRDefault="005900C7">
            <w:pPr>
              <w:jc w:val="right"/>
            </w:pPr>
          </w:p>
        </w:tc>
        <w:tc>
          <w:tcPr>
            <w:tcW w:w="1026" w:type="dxa"/>
          </w:tcPr>
          <w:p w:rsidR="005900C7" w:rsidP="00D8370F" w:rsidRDefault="005900C7">
            <w:pPr>
              <w:jc w:val="right"/>
            </w:pPr>
          </w:p>
          <w:p w:rsidR="005900C7" w:rsidP="00D8370F" w:rsidRDefault="005900C7">
            <w:pPr>
              <w:jc w:val="right"/>
            </w:pPr>
            <w:r>
              <w:t>0.311</w:t>
            </w:r>
            <w:r w:rsidRPr="00DF1498">
              <w:rPr>
                <w:vertAlign w:val="superscript"/>
              </w:rPr>
              <w:t>+++</w:t>
            </w:r>
          </w:p>
          <w:p w:rsidR="005900C7" w:rsidP="00D8370F" w:rsidRDefault="005900C7">
            <w:pPr>
              <w:jc w:val="right"/>
            </w:pPr>
            <w:r>
              <w:t>0.037</w:t>
            </w:r>
            <w:r w:rsidRPr="00DF1498">
              <w:rPr>
                <w:vertAlign w:val="superscript"/>
              </w:rPr>
              <w:t>++</w:t>
            </w:r>
          </w:p>
          <w:p w:rsidR="005900C7" w:rsidP="00D8370F" w:rsidRDefault="005900C7">
            <w:pPr>
              <w:jc w:val="right"/>
            </w:pPr>
            <w:r>
              <w:t>0.023</w:t>
            </w:r>
            <w:r w:rsidRPr="00DF1498">
              <w:rPr>
                <w:vertAlign w:val="superscript"/>
              </w:rPr>
              <w:t>+++</w:t>
            </w:r>
          </w:p>
          <w:p w:rsidR="005900C7" w:rsidP="00D8370F" w:rsidRDefault="005900C7">
            <w:pPr>
              <w:jc w:val="right"/>
            </w:pPr>
            <w:r>
              <w:t>0.000</w:t>
            </w:r>
          </w:p>
          <w:p w:rsidR="005900C7" w:rsidP="00D8370F" w:rsidRDefault="005900C7">
            <w:pPr>
              <w:jc w:val="right"/>
            </w:pPr>
            <w:r>
              <w:t>0.041</w:t>
            </w:r>
            <w:r w:rsidRPr="00DF1498">
              <w:rPr>
                <w:vertAlign w:val="superscript"/>
              </w:rPr>
              <w:t>+++</w:t>
            </w:r>
          </w:p>
          <w:p w:rsidR="005900C7" w:rsidP="00D8370F" w:rsidRDefault="005900C7">
            <w:pPr>
              <w:jc w:val="right"/>
            </w:pPr>
            <w:r>
              <w:t>0.005</w:t>
            </w:r>
            <w:r w:rsidRPr="00DF1498">
              <w:rPr>
                <w:vertAlign w:val="superscript"/>
              </w:rPr>
              <w:t>+</w:t>
            </w:r>
          </w:p>
          <w:p w:rsidR="005900C7" w:rsidP="00D8370F" w:rsidRDefault="005900C7">
            <w:pPr>
              <w:jc w:val="right"/>
            </w:pPr>
            <w:r>
              <w:t>-0.002</w:t>
            </w:r>
            <w:r w:rsidRPr="00DF1498">
              <w:rPr>
                <w:vertAlign w:val="superscript"/>
              </w:rPr>
              <w:t>+++</w:t>
            </w:r>
          </w:p>
        </w:tc>
      </w:tr>
      <w:tr w:rsidR="005900C7" w:rsidTr="00D8370F">
        <w:trPr>
          <w:jc w:val="center"/>
        </w:trPr>
        <w:tc>
          <w:tcPr>
            <w:tcW w:w="3397" w:type="dxa"/>
          </w:tcPr>
          <w:p w:rsidRPr="00267A0D" w:rsidR="005900C7" w:rsidP="00D8370F" w:rsidRDefault="005900C7">
            <w:r>
              <w:t>Part-time</w:t>
            </w:r>
            <w:r w:rsidRPr="00267A0D">
              <w:t xml:space="preserve"> </w:t>
            </w:r>
            <w:r>
              <w:t>worker</w:t>
            </w:r>
          </w:p>
        </w:tc>
        <w:tc>
          <w:tcPr>
            <w:tcW w:w="1026" w:type="dxa"/>
          </w:tcPr>
          <w:p w:rsidR="005900C7" w:rsidP="00D8370F" w:rsidRDefault="005900C7">
            <w:pPr>
              <w:jc w:val="right"/>
            </w:pPr>
          </w:p>
        </w:tc>
        <w:tc>
          <w:tcPr>
            <w:tcW w:w="1101" w:type="dxa"/>
            <w:gridSpan w:val="2"/>
          </w:tcPr>
          <w:p w:rsidR="005900C7" w:rsidP="00D8370F" w:rsidRDefault="005900C7">
            <w:r>
              <w:t>-0.046</w:t>
            </w:r>
            <w:r w:rsidRPr="00776C71">
              <w:rPr>
                <w:vertAlign w:val="superscript"/>
              </w:rPr>
              <w:t>+++</w:t>
            </w:r>
          </w:p>
        </w:tc>
        <w:tc>
          <w:tcPr>
            <w:tcW w:w="1026" w:type="dxa"/>
          </w:tcPr>
          <w:p w:rsidR="005900C7" w:rsidP="00D8370F" w:rsidRDefault="005900C7">
            <w:pPr>
              <w:jc w:val="right"/>
            </w:pPr>
          </w:p>
        </w:tc>
        <w:tc>
          <w:tcPr>
            <w:tcW w:w="1026" w:type="dxa"/>
          </w:tcPr>
          <w:p w:rsidR="005900C7" w:rsidP="00D8370F" w:rsidRDefault="005900C7">
            <w:pPr>
              <w:jc w:val="right"/>
            </w:pPr>
            <w:r>
              <w:t>-0.042</w:t>
            </w:r>
            <w:r w:rsidRPr="00D92E3E">
              <w:rPr>
                <w:vertAlign w:val="superscript"/>
              </w:rPr>
              <w:t>+++</w:t>
            </w:r>
          </w:p>
        </w:tc>
        <w:tc>
          <w:tcPr>
            <w:tcW w:w="1026" w:type="dxa"/>
          </w:tcPr>
          <w:p w:rsidR="005900C7" w:rsidP="00D8370F" w:rsidRDefault="005900C7">
            <w:pPr>
              <w:jc w:val="right"/>
            </w:pPr>
          </w:p>
        </w:tc>
        <w:tc>
          <w:tcPr>
            <w:tcW w:w="1026" w:type="dxa"/>
          </w:tcPr>
          <w:p w:rsidR="005900C7" w:rsidP="00D8370F" w:rsidRDefault="005900C7">
            <w:pPr>
              <w:jc w:val="right"/>
            </w:pPr>
            <w:r>
              <w:t>-0.020</w:t>
            </w:r>
          </w:p>
        </w:tc>
      </w:tr>
      <w:tr w:rsidR="005900C7" w:rsidTr="00D8370F">
        <w:trPr>
          <w:jc w:val="center"/>
        </w:trPr>
        <w:tc>
          <w:tcPr>
            <w:tcW w:w="9628" w:type="dxa"/>
            <w:gridSpan w:val="8"/>
          </w:tcPr>
          <w:p w:rsidR="005900C7" w:rsidP="00D8370F" w:rsidRDefault="005900C7">
            <w:pPr>
              <w:jc w:val="right"/>
            </w:pPr>
          </w:p>
        </w:tc>
      </w:tr>
      <w:tr w:rsidR="005900C7" w:rsidTr="00D8370F">
        <w:trPr>
          <w:jc w:val="center"/>
        </w:trPr>
        <w:tc>
          <w:tcPr>
            <w:tcW w:w="3397" w:type="dxa"/>
          </w:tcPr>
          <w:p w:rsidRPr="00267A0D" w:rsidR="005900C7" w:rsidP="00D8370F" w:rsidRDefault="005900C7">
            <w:r>
              <w:t>Cov(ε</w:t>
            </w:r>
            <w:r w:rsidRPr="003C5A49">
              <w:rPr>
                <w:vertAlign w:val="subscript"/>
              </w:rPr>
              <w:t>1</w:t>
            </w:r>
            <w:r>
              <w:t>, ε</w:t>
            </w:r>
            <w:r w:rsidRPr="003C5A49">
              <w:rPr>
                <w:vertAlign w:val="subscript"/>
              </w:rPr>
              <w:t>2</w:t>
            </w:r>
            <w:r>
              <w:t>) - ρ</w:t>
            </w:r>
          </w:p>
        </w:tc>
        <w:tc>
          <w:tcPr>
            <w:tcW w:w="2089" w:type="dxa"/>
            <w:gridSpan w:val="2"/>
          </w:tcPr>
          <w:p w:rsidR="005900C7" w:rsidP="00D8370F" w:rsidRDefault="005900C7">
            <w:pPr>
              <w:jc w:val="right"/>
            </w:pPr>
            <w:r>
              <w:t>0.733</w:t>
            </w:r>
            <w:r w:rsidRPr="00C57CB4">
              <w:rPr>
                <w:vertAlign w:val="superscript"/>
              </w:rPr>
              <w:t>+++</w:t>
            </w:r>
          </w:p>
        </w:tc>
        <w:tc>
          <w:tcPr>
            <w:tcW w:w="2090" w:type="dxa"/>
            <w:gridSpan w:val="3"/>
          </w:tcPr>
          <w:p w:rsidR="005900C7" w:rsidP="00D8370F" w:rsidRDefault="005900C7">
            <w:pPr>
              <w:jc w:val="right"/>
            </w:pPr>
            <w:r>
              <w:t>0.780</w:t>
            </w:r>
            <w:r w:rsidRPr="00AC2F55">
              <w:rPr>
                <w:vertAlign w:val="superscript"/>
              </w:rPr>
              <w:t>+++</w:t>
            </w:r>
          </w:p>
        </w:tc>
        <w:tc>
          <w:tcPr>
            <w:tcW w:w="2052" w:type="dxa"/>
            <w:gridSpan w:val="2"/>
          </w:tcPr>
          <w:p w:rsidR="005900C7" w:rsidP="00D8370F" w:rsidRDefault="005900C7">
            <w:pPr>
              <w:jc w:val="right"/>
            </w:pPr>
            <w:r>
              <w:t>0.809</w:t>
            </w:r>
            <w:r w:rsidRPr="00222D52">
              <w:rPr>
                <w:vertAlign w:val="superscript"/>
              </w:rPr>
              <w:t>+++</w:t>
            </w:r>
          </w:p>
        </w:tc>
      </w:tr>
      <w:tr w:rsidR="005900C7" w:rsidTr="00D8370F">
        <w:trPr>
          <w:trHeight w:val="255"/>
          <w:jc w:val="center"/>
        </w:trPr>
        <w:tc>
          <w:tcPr>
            <w:tcW w:w="3397" w:type="dxa"/>
          </w:tcPr>
          <w:p w:rsidR="005900C7" w:rsidP="00D8370F" w:rsidRDefault="005900C7">
            <w:r>
              <w:t>Sample size</w:t>
            </w:r>
          </w:p>
        </w:tc>
        <w:tc>
          <w:tcPr>
            <w:tcW w:w="2089" w:type="dxa"/>
            <w:gridSpan w:val="2"/>
          </w:tcPr>
          <w:p w:rsidR="005900C7" w:rsidP="00D8370F" w:rsidRDefault="005900C7">
            <w:pPr>
              <w:jc w:val="right"/>
            </w:pPr>
            <w:r>
              <w:t>7,303</w:t>
            </w:r>
          </w:p>
        </w:tc>
        <w:tc>
          <w:tcPr>
            <w:tcW w:w="2090" w:type="dxa"/>
            <w:gridSpan w:val="3"/>
          </w:tcPr>
          <w:p w:rsidR="005900C7" w:rsidP="00D8370F" w:rsidRDefault="005900C7">
            <w:pPr>
              <w:jc w:val="right"/>
            </w:pPr>
            <w:r>
              <w:t>7,303</w:t>
            </w:r>
          </w:p>
        </w:tc>
        <w:tc>
          <w:tcPr>
            <w:tcW w:w="2052" w:type="dxa"/>
            <w:gridSpan w:val="2"/>
          </w:tcPr>
          <w:p w:rsidR="005900C7" w:rsidP="00D8370F" w:rsidRDefault="005900C7">
            <w:pPr>
              <w:jc w:val="right"/>
            </w:pPr>
            <w:r>
              <w:t>7,303</w:t>
            </w:r>
          </w:p>
        </w:tc>
      </w:tr>
    </w:tbl>
    <w:p w:rsidR="005900C7" w:rsidP="005900C7" w:rsidRDefault="005900C7">
      <w:pPr>
        <w:spacing w:after="0" w:line="240" w:lineRule="auto"/>
      </w:pPr>
    </w:p>
    <w:p w:rsidR="005900C7" w:rsidP="005900C7" w:rsidRDefault="005900C7">
      <w:pPr>
        <w:spacing w:after="0" w:line="240" w:lineRule="auto"/>
        <w:ind w:left="709" w:hanging="709"/>
        <w:jc w:val="both"/>
      </w:pPr>
      <w:r w:rsidRPr="00603659">
        <w:rPr>
          <w:i/>
        </w:rPr>
        <w:lastRenderedPageBreak/>
        <w:t>Note</w:t>
      </w:r>
      <w:r>
        <w:rPr>
          <w:i/>
        </w:rPr>
        <w:t>s</w:t>
      </w:r>
      <w:r>
        <w:t>:</w:t>
      </w:r>
      <w:r>
        <w:tab/>
        <w:t xml:space="preserve">(E) denotes and excluded reference category; </w:t>
      </w:r>
      <w:r w:rsidRPr="009A57FE">
        <w:rPr>
          <w:vertAlign w:val="superscript"/>
        </w:rPr>
        <w:t>+</w:t>
      </w:r>
      <w:r>
        <w:t>/</w:t>
      </w:r>
      <w:r w:rsidRPr="009A57FE">
        <w:rPr>
          <w:vertAlign w:val="superscript"/>
        </w:rPr>
        <w:t>++</w:t>
      </w:r>
      <w:r>
        <w:t>/</w:t>
      </w:r>
      <w:r w:rsidRPr="009A57FE">
        <w:rPr>
          <w:vertAlign w:val="superscript"/>
        </w:rPr>
        <w:t>+++</w:t>
      </w:r>
      <w:r>
        <w:t xml:space="preserve"> denotes statistical significance at the 90%/95%/99% level respectively; in the likelihoo</w:t>
      </w:r>
      <w:r w:rsidRPr="000C24BE">
        <w:t>d function</w:t>
      </w:r>
      <w:r w:rsidRPr="000C24BE" w:rsidR="000C24BE">
        <w:t xml:space="preserve"> </w:t>
      </w:r>
      <w:r w:rsidR="00B33B6D">
        <w:t>covariance (</w:t>
      </w:r>
      <w:r w:rsidRPr="00336030" w:rsidR="000C24BE">
        <w:t>ρ</w:t>
      </w:r>
      <w:r w:rsidR="00B33B6D">
        <w:t>)</w:t>
      </w:r>
      <w:r w:rsidRPr="000C24BE" w:rsidR="000C24BE">
        <w:t xml:space="preserve"> is not estimated directly but rather </w:t>
      </w:r>
      <w:r w:rsidRPr="000C24BE">
        <w:t>atan</w:t>
      </w:r>
      <w:r w:rsidRPr="00336030" w:rsidR="000C24BE">
        <w:t>h</w:t>
      </w:r>
      <w:r w:rsidRPr="000C24BE">
        <w:t>ρ</w:t>
      </w:r>
      <w:r w:rsidRPr="000C24BE" w:rsidR="000C24BE">
        <w:t xml:space="preserve"> (=½ln((1+</w:t>
      </w:r>
      <w:r w:rsidRPr="00336030" w:rsidR="000C24BE">
        <w:t>ρ</w:t>
      </w:r>
      <w:r w:rsidRPr="000C24BE" w:rsidR="000C24BE">
        <w:t>)/(1-</w:t>
      </w:r>
      <w:r w:rsidRPr="00336030" w:rsidR="000C24BE">
        <w:t>ρ</w:t>
      </w:r>
      <w:r w:rsidRPr="000C24BE" w:rsidR="000C24BE">
        <w:t xml:space="preserve">))) </w:t>
      </w:r>
      <w:r w:rsidR="00937CBE">
        <w:t xml:space="preserve">is </w:t>
      </w:r>
      <w:r w:rsidRPr="000C24BE" w:rsidR="000C24BE">
        <w:t xml:space="preserve">and this has </w:t>
      </w:r>
      <w:r w:rsidRPr="000C24BE">
        <w:t>a coefficient value of 0.936/1.045/1.125 for the three distance thresholds respective</w:t>
      </w:r>
      <w:r>
        <w:t xml:space="preserve">ly; likelihood ratio test that </w:t>
      </w:r>
      <w:r w:rsidR="005E7901">
        <w:t>atanh</w:t>
      </w:r>
      <w:r>
        <w:t>ρ=0 (</w:t>
      </w:r>
      <m:oMath>
        <m:sSubSup>
          <m:sSubSupPr>
            <m:ctrlPr>
              <w:rPr>
                <w:rFonts w:ascii="Cambria Math" w:hAnsi="Cambria Math"/>
                <w:i/>
              </w:rPr>
            </m:ctrlPr>
          </m:sSubSupPr>
          <m:e>
            <m:r>
              <w:rPr>
                <w:rFonts w:ascii="Cambria Math" w:hAnsi="Cambria Math"/>
              </w:rPr>
              <m:t>χ</m:t>
            </m:r>
          </m:e>
          <m:sub>
            <m:r>
              <w:rPr>
                <w:rFonts w:ascii="Cambria Math" w:hAnsi="Cambria Math"/>
              </w:rPr>
              <m:t>(1)</m:t>
            </m:r>
          </m:sub>
          <m:sup>
            <m:r>
              <w:rPr>
                <w:rFonts w:ascii="Cambria Math" w:hAnsi="Cambria Math"/>
              </w:rPr>
              <m:t>2</m:t>
            </m:r>
          </m:sup>
        </m:sSubSup>
      </m:oMath>
      <w:r>
        <w:t>=1365.97/1808.62/1910.49) is easily rejected; additional controls also included for degree subject (17) and region of domicile (12) that are not reported.</w:t>
      </w:r>
    </w:p>
    <w:p w:rsidR="00EB022E" w:rsidP="001F0136" w:rsidRDefault="00EB022E">
      <w:pPr>
        <w:spacing w:after="0" w:line="360" w:lineRule="auto"/>
        <w:jc w:val="both"/>
      </w:pPr>
    </w:p>
    <w:p w:rsidR="00EB022E" w:rsidP="001F0136" w:rsidRDefault="00EB022E">
      <w:pPr>
        <w:spacing w:after="0" w:line="360" w:lineRule="auto"/>
        <w:jc w:val="both"/>
      </w:pPr>
    </w:p>
    <w:p w:rsidRPr="00C25766" w:rsidR="001F0136" w:rsidP="001F0136" w:rsidRDefault="001F0136">
      <w:pPr>
        <w:spacing w:after="0" w:line="360" w:lineRule="auto"/>
        <w:jc w:val="both"/>
      </w:pPr>
      <w:r>
        <w:t xml:space="preserve">With regard the decision to move from university to find employment (see equation [2]), there is once again regularity across distance thresholds. Those from an ethnic minority background in particular are less likely to move away from university. This is also true for those attending less-prestigious institutions outside of the Russell Group/1994 Group and those who are employed on a part-time basis. </w:t>
      </w:r>
      <w:r w:rsidR="00954324">
        <w:t>A</w:t>
      </w:r>
      <w:r>
        <w:t xml:space="preserve"> number of indicators of economic buoyancy and labour market opportunities </w:t>
      </w:r>
      <w:r w:rsidR="00954324">
        <w:t xml:space="preserve">that have been included to capture differing prospects between regions of study and work also play an important role. While </w:t>
      </w:r>
      <w:r>
        <w:t>population densities, economic activity rates and average professional earnings at the regional level</w:t>
      </w:r>
      <w:r w:rsidR="00954324">
        <w:t xml:space="preserve"> and distance from central London </w:t>
      </w:r>
      <w:r>
        <w:t>are invariably insi</w:t>
      </w:r>
      <w:r w:rsidR="00954324">
        <w:t>gnificant at the 25km threshold, they are</w:t>
      </w:r>
      <w:r>
        <w:t xml:space="preserve"> significant at </w:t>
      </w:r>
      <w:r w:rsidR="00E12F52">
        <w:t xml:space="preserve">both </w:t>
      </w:r>
      <w:r>
        <w:t xml:space="preserve">the 50/100km thresholds. The economic activity rate and the level of professional earnings (which may be thought of as indicative of the level of graduate salaries in the region of work) both act as pull factors and positively affect the decision to move away from university. In contrast, higher professional earnings in the university region reduce the likelihood of graduates moving. </w:t>
      </w:r>
    </w:p>
    <w:p w:rsidR="001F0136" w:rsidP="009274A3" w:rsidRDefault="001F0136">
      <w:pPr>
        <w:spacing w:after="0" w:line="360" w:lineRule="auto"/>
        <w:jc w:val="both"/>
        <w:rPr>
          <w:highlight w:val="yellow"/>
        </w:rPr>
      </w:pPr>
    </w:p>
    <w:p w:rsidR="006D4956" w:rsidP="009274A3" w:rsidRDefault="00A47CDE">
      <w:pPr>
        <w:spacing w:after="0" w:line="360" w:lineRule="auto"/>
        <w:jc w:val="both"/>
        <w:rPr>
          <w:i/>
        </w:rPr>
      </w:pPr>
      <w:r w:rsidRPr="00145DF5">
        <w:t>Finally</w:t>
      </w:r>
      <w:r w:rsidRPr="001966B3">
        <w:t>, the estimate of ρ in</w:t>
      </w:r>
      <w:r w:rsidRPr="00145DF5">
        <w:t xml:space="preserve"> the bivariate </w:t>
      </w:r>
      <w:r w:rsidRPr="00145DF5" w:rsidR="00C91578">
        <w:t>specification</w:t>
      </w:r>
      <w:r w:rsidRPr="00145DF5">
        <w:t>, the term capturing the correlation between</w:t>
      </w:r>
      <w:r>
        <w:t xml:space="preserve"> the unobservables in the move-to-university and the move-to-work equations, is highly significant and positive</w:t>
      </w:r>
      <w:r w:rsidR="00324784">
        <w:t xml:space="preserve"> across all three distance measures</w:t>
      </w:r>
      <w:r w:rsidR="007B2E4D">
        <w:t>,</w:t>
      </w:r>
      <w:r>
        <w:t xml:space="preserve"> </w:t>
      </w:r>
      <w:r w:rsidR="007B2E4D">
        <w:t>suggesting</w:t>
      </w:r>
      <w:r>
        <w:t xml:space="preserve"> that unobserved individual traits such as dr</w:t>
      </w:r>
      <w:r w:rsidR="007B2E4D">
        <w:t>ive, ambition, personality etc.</w:t>
      </w:r>
      <w:r>
        <w:t xml:space="preserve"> influence the decision to move both pre- and post-university in the same direction.</w:t>
      </w:r>
      <w:r w:rsidRPr="007B2E4D" w:rsidR="007B2E4D">
        <w:rPr>
          <w:rStyle w:val="EndnoteReference"/>
        </w:rPr>
        <w:t xml:space="preserve"> </w:t>
      </w:r>
      <w:r w:rsidR="007B2E4D">
        <w:rPr>
          <w:rStyle w:val="EndnoteReference"/>
        </w:rPr>
        <w:endnoteReference w:id="17"/>
      </w:r>
      <w:r w:rsidRPr="007B2E4D" w:rsidR="007B2E4D">
        <w:rPr>
          <w:vertAlign w:val="superscript"/>
        </w:rPr>
        <w:t>,</w:t>
      </w:r>
      <w:r w:rsidR="00895236">
        <w:rPr>
          <w:rStyle w:val="EndnoteReference"/>
        </w:rPr>
        <w:endnoteReference w:id="18"/>
      </w:r>
      <w:r w:rsidR="00324784">
        <w:t xml:space="preserve"> </w:t>
      </w:r>
      <w:r w:rsidR="00632FE1">
        <w:t xml:space="preserve">Modelling these as </w:t>
      </w:r>
      <w:r w:rsidR="00882CDB">
        <w:t>separate phenomena, or failure to account for the cross determination of these events, will theref</w:t>
      </w:r>
      <w:r w:rsidR="00E33E57">
        <w:t xml:space="preserve">ore potentially lead to </w:t>
      </w:r>
      <w:r w:rsidR="00C141A5">
        <w:t xml:space="preserve">incorrect </w:t>
      </w:r>
      <w:r w:rsidR="00882CDB">
        <w:t xml:space="preserve">inferences being drawn. </w:t>
      </w:r>
      <w:r>
        <w:t xml:space="preserve">The fact that such observed and unobserved characteristics influence mobility is important at the level of the individual </w:t>
      </w:r>
      <w:r w:rsidR="00C141A5">
        <w:t xml:space="preserve">as </w:t>
      </w:r>
      <w:r>
        <w:t xml:space="preserve">mobility affects the </w:t>
      </w:r>
      <w:r w:rsidR="00C141A5">
        <w:t xml:space="preserve">level of graduate </w:t>
      </w:r>
      <w:r>
        <w:t>earnings.</w:t>
      </w:r>
      <w:r w:rsidR="001F0136">
        <w:t xml:space="preserve"> We turn to this issue in the next section.</w:t>
      </w:r>
    </w:p>
    <w:p w:rsidRPr="00017565" w:rsidR="00566E54" w:rsidP="009274A3" w:rsidRDefault="00566E54">
      <w:pPr>
        <w:spacing w:after="0" w:line="360" w:lineRule="auto"/>
        <w:jc w:val="both"/>
      </w:pPr>
    </w:p>
    <w:p w:rsidRPr="002845F8" w:rsidR="009274A3" w:rsidP="001734E9" w:rsidRDefault="002845F8">
      <w:pPr>
        <w:spacing w:after="0" w:line="360" w:lineRule="auto"/>
        <w:jc w:val="both"/>
        <w:outlineLvl w:val="0"/>
      </w:pPr>
      <w:r w:rsidRPr="002845F8">
        <w:t>6.3</w:t>
      </w:r>
      <w:r w:rsidRPr="002845F8">
        <w:tab/>
      </w:r>
      <w:r w:rsidRPr="002845F8" w:rsidR="009274A3">
        <w:t>Quantile regression</w:t>
      </w:r>
    </w:p>
    <w:p w:rsidR="00D77AD7" w:rsidP="009274A3" w:rsidRDefault="009274A3">
      <w:pPr>
        <w:spacing w:after="0" w:line="360" w:lineRule="auto"/>
        <w:jc w:val="both"/>
      </w:pPr>
      <w:r>
        <w:t xml:space="preserve">We estimate quantile regressions with annual salary (logarithm) as </w:t>
      </w:r>
      <w:r w:rsidR="0089634E">
        <w:t xml:space="preserve">the </w:t>
      </w:r>
      <w:r>
        <w:t xml:space="preserve">dependent variable and a host of income determining characteristics as explanatory variables. It would be impractical to present results and give a detailed account of individual estimates across the entire earnings </w:t>
      </w:r>
      <w:r>
        <w:lastRenderedPageBreak/>
        <w:t>distribution and for all mover/stayer categories</w:t>
      </w:r>
      <w:r w:rsidR="0045365F">
        <w:t xml:space="preserve">, </w:t>
      </w:r>
      <w:r w:rsidR="00911DBB">
        <w:t xml:space="preserve">so </w:t>
      </w:r>
      <w:r w:rsidR="0045365F">
        <w:t>we present an aggregate set of results in Table 5 for representative quantiles at the median and upper/lower quartiles.</w:t>
      </w:r>
      <w:r>
        <w:t xml:space="preserve"> </w:t>
      </w:r>
      <w:r w:rsidR="0045365F">
        <w:t>These e</w:t>
      </w:r>
      <w:r>
        <w:t xml:space="preserve">stimates are </w:t>
      </w:r>
      <w:r w:rsidR="0045365F">
        <w:t xml:space="preserve">invariably </w:t>
      </w:r>
      <w:r>
        <w:t>well-defined and conform to a familiar pattern</w:t>
      </w:r>
      <w:r w:rsidR="005E47E3">
        <w:t xml:space="preserve"> as predicted </w:t>
      </w:r>
      <w:r w:rsidR="00B33B6D">
        <w:t xml:space="preserve">by </w:t>
      </w:r>
      <w:r w:rsidR="005E47E3">
        <w:t>human capital theory (see Mincer, 197</w:t>
      </w:r>
      <w:r w:rsidR="00BA57DA">
        <w:t>4</w:t>
      </w:r>
      <w:r w:rsidR="005E47E3">
        <w:t>)</w:t>
      </w:r>
      <w:r>
        <w:t>: earnings are higher for males and for those on a permanent contract as opposed to those employed on a fixed term/temporary basis; earnings a</w:t>
      </w:r>
      <w:r w:rsidR="001074E9">
        <w:t>r</w:t>
      </w:r>
      <w:r>
        <w:t xml:space="preserve">e lower for those </w:t>
      </w:r>
      <w:r w:rsidR="005E47E3">
        <w:t xml:space="preserve">who work part-time, </w:t>
      </w:r>
      <w:r w:rsidR="001F0136">
        <w:t xml:space="preserve">who </w:t>
      </w:r>
      <w:r w:rsidR="00F55831">
        <w:t xml:space="preserve">are non-white </w:t>
      </w:r>
      <w:r>
        <w:t xml:space="preserve">and </w:t>
      </w:r>
      <w:r w:rsidR="00FA4CCD">
        <w:t>for those with more</w:t>
      </w:r>
      <w:r>
        <w:t xml:space="preserve"> months spent unemployed since graduation; there are large regional variations in earnings, with the highest returns being found in the South East</w:t>
      </w:r>
      <w:r w:rsidR="005E47E3">
        <w:t xml:space="preserve"> of England</w:t>
      </w:r>
      <w:r>
        <w:t xml:space="preserve"> and London; large earnings differentials are evident across degree subjects, with Creative Arts and Design and Linguistics, Languages and Literature conferring some of the lowest returns; and finally, </w:t>
      </w:r>
      <w:r w:rsidR="00F55831">
        <w:t xml:space="preserve">a </w:t>
      </w:r>
      <w:r>
        <w:t>lower degree classification substantially reduce</w:t>
      </w:r>
      <w:r w:rsidR="00F55831">
        <w:t>s</w:t>
      </w:r>
      <w:r>
        <w:t xml:space="preserve"> earnings. These are general findings </w:t>
      </w:r>
      <w:r w:rsidR="003A1F2F">
        <w:t xml:space="preserve">that tend to be </w:t>
      </w:r>
      <w:r>
        <w:t>evident over all quantile ranges</w:t>
      </w:r>
      <w:r w:rsidR="003A1F2F">
        <w:t>, although the influence of age is only statistically significant at the lower quartile.</w:t>
      </w:r>
      <w:r w:rsidR="00236046">
        <w:t xml:space="preserve"> Given the lack of variation in age for the specific cohort studied this is largely unsurprising, although what evidence there is points to earnings increasing with age</w:t>
      </w:r>
      <w:r w:rsidR="00C340AD">
        <w:t>.</w:t>
      </w:r>
    </w:p>
    <w:p w:rsidR="00D502D4" w:rsidP="00C25766" w:rsidRDefault="00D502D4">
      <w:pPr>
        <w:spacing w:after="0" w:line="240" w:lineRule="auto"/>
        <w:outlineLvl w:val="0"/>
      </w:pPr>
    </w:p>
    <w:p w:rsidRPr="00C02B22" w:rsidR="00D84858" w:rsidP="00D84858" w:rsidRDefault="00D84858">
      <w:pPr>
        <w:spacing w:after="0" w:line="240" w:lineRule="auto"/>
        <w:jc w:val="center"/>
        <w:outlineLvl w:val="0"/>
        <w:rPr>
          <w:b/>
        </w:rPr>
      </w:pPr>
      <w:r>
        <w:rPr>
          <w:b/>
        </w:rPr>
        <w:t>Table 5</w:t>
      </w:r>
    </w:p>
    <w:p w:rsidRPr="00C02B22" w:rsidR="00D84858" w:rsidP="00D84858" w:rsidRDefault="00D84858">
      <w:pPr>
        <w:spacing w:after="0" w:line="240" w:lineRule="auto"/>
        <w:jc w:val="center"/>
        <w:rPr>
          <w:b/>
        </w:rPr>
      </w:pPr>
      <w:r>
        <w:rPr>
          <w:b/>
        </w:rPr>
        <w:t>Wage Equati</w:t>
      </w:r>
      <w:r w:rsidR="00BF56D1">
        <w:rPr>
          <w:b/>
        </w:rPr>
        <w:t>on</w:t>
      </w:r>
      <w:r>
        <w:rPr>
          <w:b/>
        </w:rPr>
        <w:t xml:space="preserve"> Estimates by Quartile</w:t>
      </w:r>
    </w:p>
    <w:p w:rsidR="00D84858" w:rsidP="00D84858" w:rsidRDefault="00D84858">
      <w:pPr>
        <w:spacing w:after="0" w:line="240" w:lineRule="auto"/>
      </w:pPr>
    </w:p>
    <w:tbl>
      <w:tblPr>
        <w:tblStyle w:val="TableGrid"/>
        <w:tblW w:w="0" w:type="auto"/>
        <w:jc w:val="center"/>
        <w:tblLayout w:type="fixed"/>
        <w:tblLook w:val="04A0" w:firstRow="1" w:lastRow="0" w:firstColumn="1" w:lastColumn="0" w:noHBand="0" w:noVBand="1"/>
      </w:tblPr>
      <w:tblGrid>
        <w:gridCol w:w="3526"/>
        <w:gridCol w:w="1147"/>
        <w:gridCol w:w="1134"/>
        <w:gridCol w:w="1134"/>
      </w:tblGrid>
      <w:tr w:rsidR="00D84858" w:rsidTr="00D8370F">
        <w:trPr>
          <w:jc w:val="center"/>
        </w:trPr>
        <w:tc>
          <w:tcPr>
            <w:tcW w:w="3526" w:type="dxa"/>
            <w:tcBorders>
              <w:top w:val="nil"/>
              <w:left w:val="nil"/>
              <w:bottom w:val="nil"/>
            </w:tcBorders>
          </w:tcPr>
          <w:p w:rsidR="00D84858" w:rsidP="00D8370F" w:rsidRDefault="00D84858"/>
        </w:tc>
        <w:tc>
          <w:tcPr>
            <w:tcW w:w="1147" w:type="dxa"/>
          </w:tcPr>
          <w:p w:rsidR="00D84858" w:rsidP="00D8370F" w:rsidRDefault="00D84858">
            <w:pPr>
              <w:jc w:val="center"/>
              <w:rPr>
                <w:b/>
              </w:rPr>
            </w:pPr>
            <w:r>
              <w:rPr>
                <w:b/>
              </w:rPr>
              <w:t>0.25</w:t>
            </w:r>
          </w:p>
        </w:tc>
        <w:tc>
          <w:tcPr>
            <w:tcW w:w="1134" w:type="dxa"/>
          </w:tcPr>
          <w:p w:rsidR="00D84858" w:rsidP="00D8370F" w:rsidRDefault="00D84858">
            <w:pPr>
              <w:jc w:val="center"/>
              <w:rPr>
                <w:b/>
              </w:rPr>
            </w:pPr>
            <w:r>
              <w:rPr>
                <w:b/>
              </w:rPr>
              <w:t>0.5</w:t>
            </w:r>
          </w:p>
        </w:tc>
        <w:tc>
          <w:tcPr>
            <w:tcW w:w="1134" w:type="dxa"/>
          </w:tcPr>
          <w:p w:rsidR="00D84858" w:rsidP="00D8370F" w:rsidRDefault="00D84858">
            <w:pPr>
              <w:jc w:val="center"/>
              <w:rPr>
                <w:b/>
              </w:rPr>
            </w:pPr>
            <w:r>
              <w:rPr>
                <w:b/>
              </w:rPr>
              <w:t>0.75</w:t>
            </w:r>
          </w:p>
        </w:tc>
      </w:tr>
      <w:tr w:rsidR="00D84858" w:rsidTr="00D8370F">
        <w:trPr>
          <w:jc w:val="center"/>
        </w:trPr>
        <w:tc>
          <w:tcPr>
            <w:tcW w:w="3526" w:type="dxa"/>
            <w:tcBorders>
              <w:top w:val="nil"/>
              <w:left w:val="nil"/>
            </w:tcBorders>
          </w:tcPr>
          <w:p w:rsidR="00D84858" w:rsidP="00D8370F" w:rsidRDefault="00D84858"/>
        </w:tc>
        <w:tc>
          <w:tcPr>
            <w:tcW w:w="1147" w:type="dxa"/>
          </w:tcPr>
          <w:p w:rsidRPr="0062721D" w:rsidR="00D84858" w:rsidP="00D8370F" w:rsidRDefault="00D84858">
            <w:pPr>
              <w:jc w:val="center"/>
              <w:rPr>
                <w:b/>
              </w:rPr>
            </w:pPr>
            <w:r>
              <w:rPr>
                <w:b/>
              </w:rPr>
              <w:t>Coef</w:t>
            </w:r>
          </w:p>
        </w:tc>
        <w:tc>
          <w:tcPr>
            <w:tcW w:w="1134" w:type="dxa"/>
          </w:tcPr>
          <w:p w:rsidRPr="0062721D" w:rsidR="00D84858" w:rsidP="00D8370F" w:rsidRDefault="00D84858">
            <w:pPr>
              <w:jc w:val="center"/>
              <w:rPr>
                <w:b/>
              </w:rPr>
            </w:pPr>
            <w:r>
              <w:rPr>
                <w:b/>
              </w:rPr>
              <w:t>Coef</w:t>
            </w:r>
          </w:p>
        </w:tc>
        <w:tc>
          <w:tcPr>
            <w:tcW w:w="1134" w:type="dxa"/>
          </w:tcPr>
          <w:p w:rsidRPr="0062721D" w:rsidR="00D84858" w:rsidP="00D8370F" w:rsidRDefault="00D84858">
            <w:pPr>
              <w:jc w:val="center"/>
              <w:rPr>
                <w:b/>
              </w:rPr>
            </w:pPr>
            <w:r>
              <w:rPr>
                <w:b/>
              </w:rPr>
              <w:t>Coef</w:t>
            </w:r>
          </w:p>
        </w:tc>
      </w:tr>
      <w:tr w:rsidR="00D84858" w:rsidTr="00D8370F">
        <w:trPr>
          <w:jc w:val="center"/>
        </w:trPr>
        <w:tc>
          <w:tcPr>
            <w:tcW w:w="3526" w:type="dxa"/>
          </w:tcPr>
          <w:p w:rsidR="00D84858" w:rsidP="00D8370F" w:rsidRDefault="00D84858">
            <w:r>
              <w:t>Age</w:t>
            </w:r>
          </w:p>
        </w:tc>
        <w:tc>
          <w:tcPr>
            <w:tcW w:w="1147" w:type="dxa"/>
          </w:tcPr>
          <w:p w:rsidR="00D84858" w:rsidP="00D8370F" w:rsidRDefault="00D84858">
            <w:pPr>
              <w:jc w:val="right"/>
            </w:pPr>
            <w:r w:rsidRPr="005F327C">
              <w:t>0.118</w:t>
            </w:r>
            <w:r w:rsidRPr="00DE6EBC">
              <w:rPr>
                <w:vertAlign w:val="superscript"/>
              </w:rPr>
              <w:t>++</w:t>
            </w:r>
          </w:p>
        </w:tc>
        <w:tc>
          <w:tcPr>
            <w:tcW w:w="1134" w:type="dxa"/>
          </w:tcPr>
          <w:p w:rsidR="00D84858" w:rsidP="00D8370F" w:rsidRDefault="00D84858">
            <w:pPr>
              <w:jc w:val="right"/>
            </w:pPr>
            <w:r w:rsidRPr="005051BD">
              <w:t>0.046</w:t>
            </w:r>
          </w:p>
        </w:tc>
        <w:tc>
          <w:tcPr>
            <w:tcW w:w="1134" w:type="dxa"/>
          </w:tcPr>
          <w:p w:rsidR="00D84858" w:rsidP="00D8370F" w:rsidRDefault="00D84858">
            <w:pPr>
              <w:jc w:val="right"/>
            </w:pPr>
            <w:r w:rsidRPr="0041337B">
              <w:t>0.058</w:t>
            </w:r>
          </w:p>
        </w:tc>
      </w:tr>
      <w:tr w:rsidR="00D84858" w:rsidTr="00D8370F">
        <w:trPr>
          <w:jc w:val="center"/>
        </w:trPr>
        <w:tc>
          <w:tcPr>
            <w:tcW w:w="3526" w:type="dxa"/>
          </w:tcPr>
          <w:p w:rsidR="00D84858" w:rsidP="00D8370F" w:rsidRDefault="00D84858">
            <w:r>
              <w:t>Age squared</w:t>
            </w:r>
          </w:p>
        </w:tc>
        <w:tc>
          <w:tcPr>
            <w:tcW w:w="1147" w:type="dxa"/>
          </w:tcPr>
          <w:p w:rsidR="00D84858" w:rsidP="00D8370F" w:rsidRDefault="00D84858">
            <w:pPr>
              <w:jc w:val="right"/>
            </w:pPr>
            <w:r w:rsidRPr="00652F28">
              <w:t>-0.002</w:t>
            </w:r>
          </w:p>
        </w:tc>
        <w:tc>
          <w:tcPr>
            <w:tcW w:w="1134" w:type="dxa"/>
          </w:tcPr>
          <w:p w:rsidR="00D84858" w:rsidP="00D8370F" w:rsidRDefault="00D84858">
            <w:pPr>
              <w:jc w:val="right"/>
            </w:pPr>
            <w:r w:rsidRPr="00DE4727">
              <w:t>0.000</w:t>
            </w:r>
          </w:p>
        </w:tc>
        <w:tc>
          <w:tcPr>
            <w:tcW w:w="1134" w:type="dxa"/>
          </w:tcPr>
          <w:p w:rsidR="00D84858" w:rsidP="00D8370F" w:rsidRDefault="00D84858">
            <w:pPr>
              <w:jc w:val="right"/>
            </w:pPr>
            <w:r w:rsidRPr="00D624EC">
              <w:t>-0.001</w:t>
            </w:r>
          </w:p>
        </w:tc>
      </w:tr>
      <w:tr w:rsidR="00D84858" w:rsidTr="00D8370F">
        <w:trPr>
          <w:jc w:val="center"/>
        </w:trPr>
        <w:tc>
          <w:tcPr>
            <w:tcW w:w="3526" w:type="dxa"/>
          </w:tcPr>
          <w:p w:rsidR="00D84858" w:rsidP="00D8370F" w:rsidRDefault="00D84858">
            <w:r>
              <w:t>Male</w:t>
            </w:r>
          </w:p>
        </w:tc>
        <w:tc>
          <w:tcPr>
            <w:tcW w:w="1147" w:type="dxa"/>
          </w:tcPr>
          <w:p w:rsidR="00D84858" w:rsidP="00D8370F" w:rsidRDefault="00D84858">
            <w:pPr>
              <w:jc w:val="right"/>
            </w:pPr>
            <w:r w:rsidRPr="00652F28">
              <w:t>0.017</w:t>
            </w:r>
          </w:p>
        </w:tc>
        <w:tc>
          <w:tcPr>
            <w:tcW w:w="1134" w:type="dxa"/>
          </w:tcPr>
          <w:p w:rsidR="00D84858" w:rsidP="00D8370F" w:rsidRDefault="00D84858">
            <w:pPr>
              <w:jc w:val="right"/>
            </w:pPr>
            <w:r w:rsidRPr="00DE4727">
              <w:t>0.038</w:t>
            </w:r>
            <w:r w:rsidRPr="00DE6EBC">
              <w:rPr>
                <w:vertAlign w:val="superscript"/>
              </w:rPr>
              <w:t>+++</w:t>
            </w:r>
          </w:p>
        </w:tc>
        <w:tc>
          <w:tcPr>
            <w:tcW w:w="1134" w:type="dxa"/>
          </w:tcPr>
          <w:p w:rsidR="00D84858" w:rsidP="00D8370F" w:rsidRDefault="00D84858">
            <w:pPr>
              <w:jc w:val="right"/>
            </w:pPr>
            <w:r w:rsidRPr="00D624EC">
              <w:t>0.041</w:t>
            </w:r>
            <w:r w:rsidRPr="00DE6EBC">
              <w:rPr>
                <w:vertAlign w:val="superscript"/>
              </w:rPr>
              <w:t>+++</w:t>
            </w:r>
          </w:p>
        </w:tc>
      </w:tr>
      <w:tr w:rsidR="00D84858" w:rsidTr="00D8370F">
        <w:trPr>
          <w:jc w:val="center"/>
        </w:trPr>
        <w:tc>
          <w:tcPr>
            <w:tcW w:w="3526" w:type="dxa"/>
          </w:tcPr>
          <w:p w:rsidR="00D84858" w:rsidP="00D8370F" w:rsidRDefault="00D84858">
            <w:r>
              <w:t>Non-white</w:t>
            </w:r>
          </w:p>
        </w:tc>
        <w:tc>
          <w:tcPr>
            <w:tcW w:w="1147" w:type="dxa"/>
          </w:tcPr>
          <w:p w:rsidR="00D84858" w:rsidP="00D8370F" w:rsidRDefault="00D84858">
            <w:pPr>
              <w:jc w:val="right"/>
            </w:pPr>
            <w:r w:rsidRPr="00652F28">
              <w:t>-0.035</w:t>
            </w:r>
            <w:r w:rsidRPr="00DE6EBC">
              <w:rPr>
                <w:vertAlign w:val="superscript"/>
              </w:rPr>
              <w:t>+</w:t>
            </w:r>
          </w:p>
        </w:tc>
        <w:tc>
          <w:tcPr>
            <w:tcW w:w="1134" w:type="dxa"/>
          </w:tcPr>
          <w:p w:rsidR="00D84858" w:rsidP="00D8370F" w:rsidRDefault="00D84858">
            <w:pPr>
              <w:jc w:val="right"/>
            </w:pPr>
            <w:r w:rsidRPr="00DE4727">
              <w:t>-0.030</w:t>
            </w:r>
            <w:r w:rsidRPr="00DE6EBC">
              <w:rPr>
                <w:vertAlign w:val="superscript"/>
              </w:rPr>
              <w:t>++</w:t>
            </w:r>
          </w:p>
        </w:tc>
        <w:tc>
          <w:tcPr>
            <w:tcW w:w="1134" w:type="dxa"/>
          </w:tcPr>
          <w:p w:rsidR="00D84858" w:rsidP="00D8370F" w:rsidRDefault="00D84858">
            <w:pPr>
              <w:jc w:val="right"/>
            </w:pPr>
            <w:r w:rsidRPr="00D624EC">
              <w:t>-0.010</w:t>
            </w:r>
          </w:p>
        </w:tc>
      </w:tr>
      <w:tr w:rsidR="00D84858" w:rsidTr="00D8370F">
        <w:trPr>
          <w:jc w:val="center"/>
        </w:trPr>
        <w:tc>
          <w:tcPr>
            <w:tcW w:w="3526" w:type="dxa"/>
          </w:tcPr>
          <w:p w:rsidR="00D84858" w:rsidP="00D8370F" w:rsidRDefault="00D84858">
            <w:pPr>
              <w:jc w:val="both"/>
            </w:pPr>
            <w:r>
              <w:t>Learning problem</w:t>
            </w:r>
          </w:p>
        </w:tc>
        <w:tc>
          <w:tcPr>
            <w:tcW w:w="1147" w:type="dxa"/>
          </w:tcPr>
          <w:p w:rsidR="00D84858" w:rsidP="00D8370F" w:rsidRDefault="00D84858">
            <w:pPr>
              <w:jc w:val="right"/>
            </w:pPr>
            <w:r w:rsidRPr="00652F28">
              <w:t>-0.009</w:t>
            </w:r>
          </w:p>
        </w:tc>
        <w:tc>
          <w:tcPr>
            <w:tcW w:w="1134" w:type="dxa"/>
          </w:tcPr>
          <w:p w:rsidR="00D84858" w:rsidP="00D8370F" w:rsidRDefault="00D84858">
            <w:pPr>
              <w:jc w:val="right"/>
            </w:pPr>
            <w:r w:rsidRPr="00DE4727">
              <w:t>0.002</w:t>
            </w:r>
          </w:p>
        </w:tc>
        <w:tc>
          <w:tcPr>
            <w:tcW w:w="1134" w:type="dxa"/>
          </w:tcPr>
          <w:p w:rsidR="00D84858" w:rsidP="00D8370F" w:rsidRDefault="00D84858">
            <w:pPr>
              <w:jc w:val="right"/>
            </w:pPr>
            <w:r w:rsidRPr="00D624EC">
              <w:t>-0.008</w:t>
            </w:r>
          </w:p>
        </w:tc>
      </w:tr>
      <w:tr w:rsidR="00D84858" w:rsidTr="00D8370F">
        <w:trPr>
          <w:jc w:val="center"/>
        </w:trPr>
        <w:tc>
          <w:tcPr>
            <w:tcW w:w="3526" w:type="dxa"/>
          </w:tcPr>
          <w:p w:rsidR="00D84858" w:rsidP="00D8370F" w:rsidRDefault="00D84858">
            <w:r>
              <w:t>Months unemployed</w:t>
            </w:r>
          </w:p>
        </w:tc>
        <w:tc>
          <w:tcPr>
            <w:tcW w:w="1147" w:type="dxa"/>
          </w:tcPr>
          <w:p w:rsidR="00D84858" w:rsidP="00D8370F" w:rsidRDefault="00D84858">
            <w:pPr>
              <w:jc w:val="right"/>
            </w:pPr>
            <w:r w:rsidRPr="00652F28">
              <w:t>-0.014</w:t>
            </w:r>
            <w:r w:rsidRPr="00DE6EBC">
              <w:rPr>
                <w:vertAlign w:val="superscript"/>
              </w:rPr>
              <w:t>+++</w:t>
            </w:r>
          </w:p>
        </w:tc>
        <w:tc>
          <w:tcPr>
            <w:tcW w:w="1134" w:type="dxa"/>
          </w:tcPr>
          <w:p w:rsidR="00D84858" w:rsidP="00D8370F" w:rsidRDefault="00D84858">
            <w:pPr>
              <w:jc w:val="right"/>
            </w:pPr>
            <w:r w:rsidRPr="00DE4727">
              <w:t>-0.014</w:t>
            </w:r>
            <w:r w:rsidRPr="00DE6EBC">
              <w:rPr>
                <w:vertAlign w:val="superscript"/>
              </w:rPr>
              <w:t>+++</w:t>
            </w:r>
          </w:p>
        </w:tc>
        <w:tc>
          <w:tcPr>
            <w:tcW w:w="1134" w:type="dxa"/>
          </w:tcPr>
          <w:p w:rsidR="00D84858" w:rsidP="00D8370F" w:rsidRDefault="00D84858">
            <w:pPr>
              <w:jc w:val="right"/>
            </w:pPr>
            <w:r w:rsidRPr="00D624EC">
              <w:t>0.017</w:t>
            </w:r>
            <w:r w:rsidRPr="00DE6EBC">
              <w:rPr>
                <w:vertAlign w:val="superscript"/>
              </w:rPr>
              <w:t>+++</w:t>
            </w:r>
          </w:p>
        </w:tc>
      </w:tr>
      <w:tr w:rsidR="00D84858" w:rsidTr="00D8370F">
        <w:trPr>
          <w:jc w:val="center"/>
        </w:trPr>
        <w:tc>
          <w:tcPr>
            <w:tcW w:w="3526" w:type="dxa"/>
          </w:tcPr>
          <w:p w:rsidR="00D84858" w:rsidP="00D8370F" w:rsidRDefault="00D84858">
            <w:r>
              <w:t>Months unemployed squared</w:t>
            </w:r>
          </w:p>
        </w:tc>
        <w:tc>
          <w:tcPr>
            <w:tcW w:w="1147" w:type="dxa"/>
          </w:tcPr>
          <w:p w:rsidR="00D84858" w:rsidP="00D8370F" w:rsidRDefault="00D84858">
            <w:pPr>
              <w:jc w:val="right"/>
            </w:pPr>
            <w:r w:rsidRPr="00652F28">
              <w:t>0.000</w:t>
            </w:r>
          </w:p>
        </w:tc>
        <w:tc>
          <w:tcPr>
            <w:tcW w:w="1134" w:type="dxa"/>
          </w:tcPr>
          <w:p w:rsidR="00D84858" w:rsidP="00D8370F" w:rsidRDefault="00D84858">
            <w:pPr>
              <w:jc w:val="right"/>
            </w:pPr>
            <w:r w:rsidRPr="00DE4727">
              <w:t>0.000</w:t>
            </w:r>
          </w:p>
        </w:tc>
        <w:tc>
          <w:tcPr>
            <w:tcW w:w="1134" w:type="dxa"/>
          </w:tcPr>
          <w:p w:rsidR="00D84858" w:rsidP="00D8370F" w:rsidRDefault="00D84858">
            <w:pPr>
              <w:jc w:val="right"/>
            </w:pPr>
            <w:r w:rsidRPr="00D624EC">
              <w:t>0.001</w:t>
            </w:r>
            <w:r w:rsidRPr="00DE6EBC">
              <w:rPr>
                <w:vertAlign w:val="superscript"/>
              </w:rPr>
              <w:t>+++</w:t>
            </w:r>
          </w:p>
        </w:tc>
      </w:tr>
      <w:tr w:rsidR="00D84858" w:rsidTr="00D8370F">
        <w:trPr>
          <w:jc w:val="center"/>
        </w:trPr>
        <w:tc>
          <w:tcPr>
            <w:tcW w:w="3526" w:type="dxa"/>
          </w:tcPr>
          <w:p w:rsidR="00D84858" w:rsidP="00D8370F" w:rsidRDefault="00D84858">
            <w:r>
              <w:t>Part-time employment</w:t>
            </w:r>
          </w:p>
        </w:tc>
        <w:tc>
          <w:tcPr>
            <w:tcW w:w="1147" w:type="dxa"/>
          </w:tcPr>
          <w:p w:rsidR="00D84858" w:rsidP="00D8370F" w:rsidRDefault="00D84858">
            <w:pPr>
              <w:jc w:val="right"/>
            </w:pPr>
            <w:r w:rsidRPr="00652F28">
              <w:t>-0.935</w:t>
            </w:r>
            <w:r w:rsidRPr="00DE6EBC">
              <w:rPr>
                <w:vertAlign w:val="superscript"/>
              </w:rPr>
              <w:t>+++</w:t>
            </w:r>
          </w:p>
        </w:tc>
        <w:tc>
          <w:tcPr>
            <w:tcW w:w="1134" w:type="dxa"/>
          </w:tcPr>
          <w:p w:rsidR="00D84858" w:rsidP="00D8370F" w:rsidRDefault="00D84858">
            <w:pPr>
              <w:jc w:val="right"/>
            </w:pPr>
            <w:r w:rsidRPr="00DE4727">
              <w:t>-0.604</w:t>
            </w:r>
            <w:r w:rsidRPr="00DE6EBC">
              <w:rPr>
                <w:vertAlign w:val="superscript"/>
              </w:rPr>
              <w:t>+++</w:t>
            </w:r>
          </w:p>
        </w:tc>
        <w:tc>
          <w:tcPr>
            <w:tcW w:w="1134" w:type="dxa"/>
          </w:tcPr>
          <w:p w:rsidR="00D84858" w:rsidP="00D8370F" w:rsidRDefault="00D84858">
            <w:pPr>
              <w:jc w:val="right"/>
            </w:pPr>
            <w:r w:rsidRPr="00D624EC">
              <w:t>-0.386</w:t>
            </w:r>
            <w:r w:rsidRPr="00DE6EBC">
              <w:rPr>
                <w:vertAlign w:val="superscript"/>
              </w:rPr>
              <w:t>+++</w:t>
            </w:r>
          </w:p>
        </w:tc>
      </w:tr>
      <w:tr w:rsidR="00D84858" w:rsidTr="00D8370F">
        <w:trPr>
          <w:jc w:val="center"/>
        </w:trPr>
        <w:tc>
          <w:tcPr>
            <w:tcW w:w="3526" w:type="dxa"/>
          </w:tcPr>
          <w:p w:rsidR="00D84858" w:rsidP="00D8370F" w:rsidRDefault="00D84858">
            <w:r>
              <w:t>Permanent contract</w:t>
            </w:r>
          </w:p>
        </w:tc>
        <w:tc>
          <w:tcPr>
            <w:tcW w:w="1147" w:type="dxa"/>
          </w:tcPr>
          <w:p w:rsidR="00D84858" w:rsidP="00D8370F" w:rsidRDefault="00D84858">
            <w:pPr>
              <w:jc w:val="right"/>
            </w:pPr>
            <w:r w:rsidRPr="00652F28">
              <w:t>0.102</w:t>
            </w:r>
            <w:r w:rsidRPr="00DE6EBC">
              <w:rPr>
                <w:vertAlign w:val="superscript"/>
              </w:rPr>
              <w:t>+++</w:t>
            </w:r>
          </w:p>
        </w:tc>
        <w:tc>
          <w:tcPr>
            <w:tcW w:w="1134" w:type="dxa"/>
          </w:tcPr>
          <w:p w:rsidR="00D84858" w:rsidP="00D8370F" w:rsidRDefault="00D84858">
            <w:pPr>
              <w:jc w:val="right"/>
            </w:pPr>
            <w:r w:rsidRPr="00DE4727">
              <w:t>0.064</w:t>
            </w:r>
            <w:r w:rsidRPr="00DE6EBC">
              <w:rPr>
                <w:vertAlign w:val="superscript"/>
              </w:rPr>
              <w:t>+++</w:t>
            </w:r>
          </w:p>
        </w:tc>
        <w:tc>
          <w:tcPr>
            <w:tcW w:w="1134" w:type="dxa"/>
          </w:tcPr>
          <w:p w:rsidR="00D84858" w:rsidP="00D8370F" w:rsidRDefault="00D84858">
            <w:pPr>
              <w:jc w:val="right"/>
            </w:pPr>
            <w:r w:rsidRPr="00D624EC">
              <w:t>0.043</w:t>
            </w:r>
            <w:r w:rsidRPr="00DE6EBC">
              <w:rPr>
                <w:vertAlign w:val="superscript"/>
              </w:rPr>
              <w:t>+++</w:t>
            </w:r>
          </w:p>
        </w:tc>
      </w:tr>
      <w:tr w:rsidR="00D84858" w:rsidTr="00D8370F">
        <w:trPr>
          <w:jc w:val="center"/>
        </w:trPr>
        <w:tc>
          <w:tcPr>
            <w:tcW w:w="3526" w:type="dxa"/>
          </w:tcPr>
          <w:p w:rsidRPr="007D0843" w:rsidR="00D84858" w:rsidP="00D8370F" w:rsidRDefault="00D84858">
            <w:pPr>
              <w:rPr>
                <w:i/>
              </w:rPr>
            </w:pPr>
            <w:r w:rsidRPr="00C12583">
              <w:t>University quality</w:t>
            </w:r>
          </w:p>
        </w:tc>
        <w:tc>
          <w:tcPr>
            <w:tcW w:w="1147" w:type="dxa"/>
          </w:tcPr>
          <w:p w:rsidR="00D84858" w:rsidP="00D8370F" w:rsidRDefault="00D84858">
            <w:pPr>
              <w:jc w:val="right"/>
            </w:pPr>
            <w:r w:rsidRPr="00652F28">
              <w:t>-0.012</w:t>
            </w:r>
          </w:p>
        </w:tc>
        <w:tc>
          <w:tcPr>
            <w:tcW w:w="1134" w:type="dxa"/>
          </w:tcPr>
          <w:p w:rsidR="00D84858" w:rsidP="00D8370F" w:rsidRDefault="00D84858">
            <w:pPr>
              <w:jc w:val="right"/>
            </w:pPr>
            <w:r w:rsidRPr="00DE4727">
              <w:t>-0.006</w:t>
            </w:r>
          </w:p>
        </w:tc>
        <w:tc>
          <w:tcPr>
            <w:tcW w:w="1134" w:type="dxa"/>
          </w:tcPr>
          <w:p w:rsidR="00D84858" w:rsidP="00D8370F" w:rsidRDefault="00D84858">
            <w:pPr>
              <w:jc w:val="right"/>
            </w:pPr>
            <w:r w:rsidRPr="00D624EC">
              <w:t>0.000</w:t>
            </w:r>
          </w:p>
        </w:tc>
      </w:tr>
      <w:tr w:rsidR="00D84858" w:rsidTr="00D8370F">
        <w:trPr>
          <w:jc w:val="center"/>
        </w:trPr>
        <w:tc>
          <w:tcPr>
            <w:tcW w:w="3526" w:type="dxa"/>
          </w:tcPr>
          <w:p w:rsidRPr="007D0843" w:rsidR="00D84858" w:rsidP="00D8370F" w:rsidRDefault="00D84858">
            <w:pPr>
              <w:rPr>
                <w:i/>
              </w:rPr>
            </w:pPr>
            <w:r w:rsidRPr="007D0843">
              <w:rPr>
                <w:i/>
              </w:rPr>
              <w:t>Institution type</w:t>
            </w:r>
          </w:p>
          <w:p w:rsidR="00D84858" w:rsidP="00D8370F" w:rsidRDefault="00D84858">
            <w:r>
              <w:t>Russell Group</w:t>
            </w:r>
          </w:p>
          <w:p w:rsidR="00D84858" w:rsidP="00D8370F" w:rsidRDefault="00D84858">
            <w:r>
              <w:t>1994 Group</w:t>
            </w:r>
          </w:p>
          <w:p w:rsidR="00D84858" w:rsidP="00D8370F" w:rsidRDefault="00D84858">
            <w:r>
              <w:t>Pre-1992</w:t>
            </w:r>
          </w:p>
          <w:p w:rsidR="00D84858" w:rsidP="00D8370F" w:rsidRDefault="00D84858">
            <w:r>
              <w:t>Other</w:t>
            </w:r>
          </w:p>
        </w:tc>
        <w:tc>
          <w:tcPr>
            <w:tcW w:w="1147" w:type="dxa"/>
          </w:tcPr>
          <w:p w:rsidR="00D84858" w:rsidP="00D8370F" w:rsidRDefault="00D84858">
            <w:pPr>
              <w:jc w:val="right"/>
            </w:pPr>
          </w:p>
          <w:p w:rsidR="00D84858" w:rsidP="00D8370F" w:rsidRDefault="00D84858">
            <w:pPr>
              <w:jc w:val="right"/>
            </w:pPr>
            <w:r>
              <w:t>(E)</w:t>
            </w:r>
          </w:p>
          <w:p w:rsidR="00D84858" w:rsidP="00D8370F" w:rsidRDefault="00D84858">
            <w:pPr>
              <w:jc w:val="right"/>
            </w:pPr>
            <w:r w:rsidRPr="00652F28">
              <w:t>0.031</w:t>
            </w:r>
          </w:p>
          <w:p w:rsidR="00D84858" w:rsidP="00D8370F" w:rsidRDefault="00D84858">
            <w:pPr>
              <w:jc w:val="right"/>
            </w:pPr>
            <w:r w:rsidRPr="00652F28">
              <w:t>-0.002</w:t>
            </w:r>
          </w:p>
          <w:p w:rsidR="00D84858" w:rsidP="00D8370F" w:rsidRDefault="00D84858">
            <w:pPr>
              <w:jc w:val="right"/>
            </w:pPr>
            <w:r w:rsidRPr="00652F28">
              <w:t>-0.019</w:t>
            </w:r>
          </w:p>
        </w:tc>
        <w:tc>
          <w:tcPr>
            <w:tcW w:w="1134" w:type="dxa"/>
          </w:tcPr>
          <w:p w:rsidR="00D84858" w:rsidP="00D8370F" w:rsidRDefault="00D84858">
            <w:pPr>
              <w:jc w:val="right"/>
            </w:pPr>
          </w:p>
          <w:p w:rsidR="00D84858" w:rsidP="00D8370F" w:rsidRDefault="00D84858">
            <w:pPr>
              <w:jc w:val="right"/>
            </w:pPr>
            <w:r>
              <w:t>(E)</w:t>
            </w:r>
          </w:p>
          <w:p w:rsidR="00D84858" w:rsidP="00D8370F" w:rsidRDefault="00D84858">
            <w:pPr>
              <w:jc w:val="right"/>
            </w:pPr>
            <w:r w:rsidRPr="00DE4727">
              <w:t>0.021</w:t>
            </w:r>
          </w:p>
          <w:p w:rsidR="00D84858" w:rsidP="00D8370F" w:rsidRDefault="00D84858">
            <w:pPr>
              <w:jc w:val="right"/>
            </w:pPr>
            <w:r w:rsidRPr="00DE4727">
              <w:t>0.030</w:t>
            </w:r>
          </w:p>
          <w:p w:rsidR="00D84858" w:rsidP="00D8370F" w:rsidRDefault="00D84858">
            <w:pPr>
              <w:jc w:val="right"/>
            </w:pPr>
            <w:r w:rsidRPr="00DE4727">
              <w:t>-0.006</w:t>
            </w:r>
          </w:p>
        </w:tc>
        <w:tc>
          <w:tcPr>
            <w:tcW w:w="1134" w:type="dxa"/>
          </w:tcPr>
          <w:p w:rsidR="00D84858" w:rsidP="00D8370F" w:rsidRDefault="00D84858">
            <w:pPr>
              <w:jc w:val="right"/>
            </w:pPr>
          </w:p>
          <w:p w:rsidR="00D84858" w:rsidP="00D8370F" w:rsidRDefault="00D84858">
            <w:pPr>
              <w:jc w:val="right"/>
            </w:pPr>
            <w:r>
              <w:t>(E)</w:t>
            </w:r>
          </w:p>
          <w:p w:rsidR="00D84858" w:rsidP="00D8370F" w:rsidRDefault="00D84858">
            <w:pPr>
              <w:jc w:val="right"/>
            </w:pPr>
            <w:r w:rsidRPr="00D624EC">
              <w:t>0.010</w:t>
            </w:r>
          </w:p>
          <w:p w:rsidR="00D84858" w:rsidP="00D8370F" w:rsidRDefault="00D84858">
            <w:pPr>
              <w:jc w:val="right"/>
            </w:pPr>
            <w:r w:rsidRPr="00D624EC">
              <w:t>-0.005</w:t>
            </w:r>
          </w:p>
          <w:p w:rsidR="00D84858" w:rsidP="00D8370F" w:rsidRDefault="00D84858">
            <w:pPr>
              <w:jc w:val="right"/>
            </w:pPr>
            <w:r w:rsidRPr="00D624EC">
              <w:t>-0.028</w:t>
            </w:r>
          </w:p>
        </w:tc>
      </w:tr>
      <w:tr w:rsidR="00D84858" w:rsidTr="00D8370F">
        <w:trPr>
          <w:jc w:val="center"/>
        </w:trPr>
        <w:tc>
          <w:tcPr>
            <w:tcW w:w="3526" w:type="dxa"/>
          </w:tcPr>
          <w:p w:rsidRPr="007D0843" w:rsidR="00D84858" w:rsidP="00D8370F" w:rsidRDefault="00D84858">
            <w:pPr>
              <w:rPr>
                <w:i/>
              </w:rPr>
            </w:pPr>
            <w:r w:rsidRPr="007D0843">
              <w:rPr>
                <w:i/>
              </w:rPr>
              <w:t>Degree class</w:t>
            </w:r>
          </w:p>
          <w:p w:rsidR="00D84858" w:rsidP="00D8370F" w:rsidRDefault="00D84858">
            <w:r>
              <w:t>First</w:t>
            </w:r>
          </w:p>
          <w:p w:rsidR="00D84858" w:rsidP="00D8370F" w:rsidRDefault="00D84858">
            <w:r>
              <w:t>Upper second</w:t>
            </w:r>
          </w:p>
          <w:p w:rsidR="00D84858" w:rsidP="00D8370F" w:rsidRDefault="00D84858">
            <w:r>
              <w:t>Lower second</w:t>
            </w:r>
          </w:p>
          <w:p w:rsidR="00D84858" w:rsidP="00D8370F" w:rsidRDefault="00D84858">
            <w:r>
              <w:t>Third</w:t>
            </w:r>
          </w:p>
          <w:p w:rsidR="00D84858" w:rsidP="00D8370F" w:rsidRDefault="00D84858">
            <w:r>
              <w:t>Unclassified</w:t>
            </w:r>
          </w:p>
          <w:p w:rsidR="00D84858" w:rsidP="00D8370F" w:rsidRDefault="00D84858">
            <w:r>
              <w:t>Other</w:t>
            </w:r>
          </w:p>
        </w:tc>
        <w:tc>
          <w:tcPr>
            <w:tcW w:w="1147" w:type="dxa"/>
          </w:tcPr>
          <w:p w:rsidR="00D84858" w:rsidP="00D8370F" w:rsidRDefault="00D84858">
            <w:pPr>
              <w:jc w:val="right"/>
            </w:pPr>
          </w:p>
          <w:p w:rsidR="00D84858" w:rsidP="00D8370F" w:rsidRDefault="00D84858">
            <w:pPr>
              <w:jc w:val="right"/>
            </w:pPr>
            <w:r>
              <w:t>(E)</w:t>
            </w:r>
          </w:p>
          <w:p w:rsidR="00D84858" w:rsidP="00D8370F" w:rsidRDefault="00D84858">
            <w:pPr>
              <w:jc w:val="right"/>
            </w:pPr>
            <w:r w:rsidRPr="00652F28">
              <w:t>-0.033</w:t>
            </w:r>
          </w:p>
          <w:p w:rsidR="00D84858" w:rsidP="00D8370F" w:rsidRDefault="00D84858">
            <w:pPr>
              <w:jc w:val="right"/>
            </w:pPr>
            <w:r w:rsidRPr="00652F28">
              <w:t>-0.078</w:t>
            </w:r>
            <w:r w:rsidRPr="00DE6EBC">
              <w:rPr>
                <w:vertAlign w:val="superscript"/>
              </w:rPr>
              <w:t>+++</w:t>
            </w:r>
          </w:p>
          <w:p w:rsidR="00D84858" w:rsidP="00D8370F" w:rsidRDefault="00D84858">
            <w:pPr>
              <w:jc w:val="right"/>
            </w:pPr>
            <w:r w:rsidRPr="00652F28">
              <w:t>-0.101</w:t>
            </w:r>
            <w:r w:rsidRPr="00DE6EBC">
              <w:rPr>
                <w:vertAlign w:val="superscript"/>
              </w:rPr>
              <w:t>++</w:t>
            </w:r>
          </w:p>
          <w:p w:rsidR="00D84858" w:rsidP="00D8370F" w:rsidRDefault="00D84858">
            <w:pPr>
              <w:jc w:val="right"/>
            </w:pPr>
            <w:r w:rsidRPr="00652F28">
              <w:t>0.088</w:t>
            </w:r>
          </w:p>
          <w:p w:rsidR="00D84858" w:rsidP="00D8370F" w:rsidRDefault="00D84858">
            <w:pPr>
              <w:jc w:val="right"/>
            </w:pPr>
            <w:r w:rsidRPr="00652F28">
              <w:t>0.003</w:t>
            </w:r>
          </w:p>
        </w:tc>
        <w:tc>
          <w:tcPr>
            <w:tcW w:w="1134" w:type="dxa"/>
          </w:tcPr>
          <w:p w:rsidR="00D84858" w:rsidP="00D8370F" w:rsidRDefault="00D84858">
            <w:pPr>
              <w:jc w:val="right"/>
            </w:pPr>
          </w:p>
          <w:p w:rsidR="00D84858" w:rsidP="00D8370F" w:rsidRDefault="00D84858">
            <w:pPr>
              <w:jc w:val="right"/>
            </w:pPr>
            <w:r>
              <w:t>(E)</w:t>
            </w:r>
          </w:p>
          <w:p w:rsidR="00D84858" w:rsidP="00D8370F" w:rsidRDefault="00D84858">
            <w:pPr>
              <w:jc w:val="right"/>
            </w:pPr>
            <w:r w:rsidRPr="00DE4727">
              <w:t>-0.042</w:t>
            </w:r>
            <w:r w:rsidRPr="00DE6EBC">
              <w:rPr>
                <w:vertAlign w:val="superscript"/>
              </w:rPr>
              <w:t>++</w:t>
            </w:r>
          </w:p>
          <w:p w:rsidR="00D84858" w:rsidP="00D8370F" w:rsidRDefault="00D84858">
            <w:pPr>
              <w:jc w:val="right"/>
            </w:pPr>
            <w:r w:rsidRPr="00DE4727">
              <w:t>-0.098</w:t>
            </w:r>
            <w:r w:rsidRPr="00DE6EBC">
              <w:rPr>
                <w:vertAlign w:val="superscript"/>
              </w:rPr>
              <w:t>+++</w:t>
            </w:r>
          </w:p>
          <w:p w:rsidR="00D84858" w:rsidP="00D8370F" w:rsidRDefault="00D84858">
            <w:pPr>
              <w:jc w:val="right"/>
            </w:pPr>
            <w:r w:rsidRPr="00DE4727">
              <w:t>-0.144</w:t>
            </w:r>
            <w:r w:rsidRPr="00DE6EBC">
              <w:rPr>
                <w:vertAlign w:val="superscript"/>
              </w:rPr>
              <w:t>+++</w:t>
            </w:r>
          </w:p>
          <w:p w:rsidR="00D84858" w:rsidP="00D8370F" w:rsidRDefault="00D84858">
            <w:pPr>
              <w:jc w:val="right"/>
            </w:pPr>
            <w:r w:rsidRPr="00DE4727">
              <w:t>0.043</w:t>
            </w:r>
          </w:p>
          <w:p w:rsidR="00D84858" w:rsidP="00D8370F" w:rsidRDefault="00D84858">
            <w:pPr>
              <w:jc w:val="right"/>
            </w:pPr>
            <w:r w:rsidRPr="00DE4727">
              <w:t>-0.029</w:t>
            </w:r>
          </w:p>
        </w:tc>
        <w:tc>
          <w:tcPr>
            <w:tcW w:w="1134" w:type="dxa"/>
          </w:tcPr>
          <w:p w:rsidR="00D84858" w:rsidP="00D8370F" w:rsidRDefault="00D84858">
            <w:pPr>
              <w:jc w:val="right"/>
            </w:pPr>
          </w:p>
          <w:p w:rsidR="00D84858" w:rsidP="00D8370F" w:rsidRDefault="00D84858">
            <w:pPr>
              <w:jc w:val="right"/>
            </w:pPr>
            <w:r>
              <w:t>(E)</w:t>
            </w:r>
          </w:p>
          <w:p w:rsidR="00D84858" w:rsidP="00D8370F" w:rsidRDefault="00D84858">
            <w:pPr>
              <w:jc w:val="right"/>
            </w:pPr>
            <w:r w:rsidRPr="00D624EC">
              <w:t>-0.032</w:t>
            </w:r>
            <w:r w:rsidRPr="00DE6EBC">
              <w:rPr>
                <w:vertAlign w:val="superscript"/>
              </w:rPr>
              <w:t>+</w:t>
            </w:r>
          </w:p>
          <w:p w:rsidR="00D84858" w:rsidP="00D8370F" w:rsidRDefault="00D84858">
            <w:pPr>
              <w:jc w:val="right"/>
            </w:pPr>
            <w:r w:rsidRPr="00D624EC">
              <w:t>-0.073</w:t>
            </w:r>
            <w:r w:rsidRPr="00DE6EBC">
              <w:rPr>
                <w:vertAlign w:val="superscript"/>
              </w:rPr>
              <w:t>+++</w:t>
            </w:r>
          </w:p>
          <w:p w:rsidR="00D84858" w:rsidP="00D8370F" w:rsidRDefault="00D84858">
            <w:pPr>
              <w:jc w:val="right"/>
            </w:pPr>
            <w:r w:rsidRPr="00D624EC">
              <w:t>-0.089</w:t>
            </w:r>
            <w:r w:rsidRPr="00DE6EBC">
              <w:rPr>
                <w:vertAlign w:val="superscript"/>
              </w:rPr>
              <w:t>+++</w:t>
            </w:r>
          </w:p>
          <w:p w:rsidR="00D84858" w:rsidP="00D8370F" w:rsidRDefault="00D84858">
            <w:pPr>
              <w:jc w:val="right"/>
            </w:pPr>
            <w:r w:rsidRPr="00D624EC">
              <w:t>0.042</w:t>
            </w:r>
          </w:p>
          <w:p w:rsidR="00D84858" w:rsidP="00D8370F" w:rsidRDefault="00D84858">
            <w:pPr>
              <w:jc w:val="right"/>
            </w:pPr>
            <w:r w:rsidRPr="00D624EC">
              <w:t>-0.018</w:t>
            </w:r>
          </w:p>
        </w:tc>
      </w:tr>
      <w:tr w:rsidR="00D84858" w:rsidTr="00D8370F">
        <w:trPr>
          <w:jc w:val="center"/>
        </w:trPr>
        <w:tc>
          <w:tcPr>
            <w:tcW w:w="3526" w:type="dxa"/>
          </w:tcPr>
          <w:p w:rsidRPr="0018175D" w:rsidR="00D84858" w:rsidP="00D8370F" w:rsidRDefault="00D84858">
            <w:pPr>
              <w:rPr>
                <w:i/>
              </w:rPr>
            </w:pPr>
            <w:r>
              <w:rPr>
                <w:i/>
              </w:rPr>
              <w:t>Degree subject</w:t>
            </w:r>
          </w:p>
          <w:p w:rsidR="00D84858" w:rsidP="00D8370F" w:rsidRDefault="00D84858">
            <w:r>
              <w:t>Medicine &amp; dentistry</w:t>
            </w:r>
          </w:p>
          <w:p w:rsidR="00D84858" w:rsidP="00D8370F" w:rsidRDefault="00D84858">
            <w:r>
              <w:t>Subjects allied to medicine</w:t>
            </w:r>
          </w:p>
          <w:p w:rsidR="00D84858" w:rsidP="00D8370F" w:rsidRDefault="00D84858">
            <w:r>
              <w:lastRenderedPageBreak/>
              <w:t>Biological, veterinary &amp; agricultural</w:t>
            </w:r>
          </w:p>
          <w:p w:rsidR="00D84858" w:rsidP="00D8370F" w:rsidRDefault="00D84858">
            <w:r>
              <w:t>Physical sciences</w:t>
            </w:r>
          </w:p>
          <w:p w:rsidR="00D84858" w:rsidP="00D8370F" w:rsidRDefault="00D84858">
            <w:r>
              <w:t>Mathematics &amp; computer science</w:t>
            </w:r>
          </w:p>
          <w:p w:rsidR="00D84858" w:rsidP="00D8370F" w:rsidRDefault="00D84858">
            <w:r>
              <w:t>Engineering &amp; technology</w:t>
            </w:r>
          </w:p>
          <w:p w:rsidR="00D84858" w:rsidP="00D8370F" w:rsidRDefault="00D84858">
            <w:r>
              <w:t>Architecture, building &amp; planning</w:t>
            </w:r>
          </w:p>
          <w:p w:rsidR="00D84858" w:rsidP="00D8370F" w:rsidRDefault="00D84858">
            <w:r>
              <w:t>Social studies</w:t>
            </w:r>
          </w:p>
          <w:p w:rsidR="00D84858" w:rsidP="00D8370F" w:rsidRDefault="00D84858">
            <w:r>
              <w:t>Law</w:t>
            </w:r>
          </w:p>
          <w:p w:rsidR="00D84858" w:rsidP="00D8370F" w:rsidRDefault="00D84858">
            <w:r>
              <w:t>Business &amp; administrative studies</w:t>
            </w:r>
          </w:p>
          <w:p w:rsidR="00D84858" w:rsidP="00D8370F" w:rsidRDefault="00D84858">
            <w:r>
              <w:t>Communication &amp; documentation</w:t>
            </w:r>
          </w:p>
          <w:p w:rsidR="00D84858" w:rsidP="00D8370F" w:rsidRDefault="00D84858">
            <w:r>
              <w:t>Linguistics, languages &amp; literature</w:t>
            </w:r>
          </w:p>
          <w:p w:rsidR="00D84858" w:rsidP="00D8370F" w:rsidRDefault="00D84858">
            <w:r>
              <w:t>History &amp; philosophy</w:t>
            </w:r>
          </w:p>
          <w:p w:rsidR="00D84858" w:rsidP="00D8370F" w:rsidRDefault="00D84858">
            <w:r>
              <w:t>Creative arts &amp; design</w:t>
            </w:r>
          </w:p>
          <w:p w:rsidR="00D84858" w:rsidP="00D8370F" w:rsidRDefault="00D84858">
            <w:r>
              <w:t>Education</w:t>
            </w:r>
          </w:p>
          <w:p w:rsidRPr="0018175D" w:rsidR="00D84858" w:rsidP="00D8370F" w:rsidRDefault="00D84858">
            <w:r>
              <w:t>Combined</w:t>
            </w:r>
          </w:p>
        </w:tc>
        <w:tc>
          <w:tcPr>
            <w:tcW w:w="1147" w:type="dxa"/>
          </w:tcPr>
          <w:p w:rsidR="00D84858" w:rsidP="00D8370F" w:rsidRDefault="00D84858">
            <w:pPr>
              <w:jc w:val="right"/>
            </w:pPr>
          </w:p>
          <w:p w:rsidR="00D84858" w:rsidP="00D8370F" w:rsidRDefault="00D84858">
            <w:pPr>
              <w:jc w:val="right"/>
            </w:pPr>
            <w:r w:rsidRPr="00652F28">
              <w:t>0.705</w:t>
            </w:r>
            <w:r w:rsidRPr="00DE6EBC">
              <w:rPr>
                <w:vertAlign w:val="superscript"/>
              </w:rPr>
              <w:t>+++</w:t>
            </w:r>
          </w:p>
          <w:p w:rsidR="00D84858" w:rsidP="00D8370F" w:rsidRDefault="00D84858">
            <w:pPr>
              <w:jc w:val="right"/>
            </w:pPr>
            <w:r w:rsidRPr="00652F28">
              <w:t>0.116</w:t>
            </w:r>
            <w:r w:rsidRPr="00DE6EBC">
              <w:rPr>
                <w:vertAlign w:val="superscript"/>
              </w:rPr>
              <w:t>+++</w:t>
            </w:r>
          </w:p>
          <w:p w:rsidR="00D84858" w:rsidP="00D8370F" w:rsidRDefault="00D84858">
            <w:pPr>
              <w:jc w:val="right"/>
            </w:pPr>
            <w:r w:rsidRPr="00652F28">
              <w:lastRenderedPageBreak/>
              <w:t>-0.075</w:t>
            </w:r>
            <w:r w:rsidRPr="00DE6EBC">
              <w:rPr>
                <w:vertAlign w:val="superscript"/>
              </w:rPr>
              <w:t>+++</w:t>
            </w:r>
          </w:p>
          <w:p w:rsidR="00D84858" w:rsidP="00D8370F" w:rsidRDefault="00D84858">
            <w:pPr>
              <w:jc w:val="right"/>
            </w:pPr>
            <w:r w:rsidRPr="00652F28">
              <w:t>-0.040</w:t>
            </w:r>
          </w:p>
          <w:p w:rsidR="00D84858" w:rsidP="00D8370F" w:rsidRDefault="00D84858">
            <w:pPr>
              <w:jc w:val="right"/>
            </w:pPr>
            <w:r w:rsidRPr="00652F28">
              <w:t>0.040</w:t>
            </w:r>
          </w:p>
          <w:p w:rsidR="00D84858" w:rsidP="00D8370F" w:rsidRDefault="00D84858">
            <w:pPr>
              <w:jc w:val="right"/>
            </w:pPr>
            <w:r w:rsidRPr="00652F28">
              <w:t>0.223</w:t>
            </w:r>
            <w:r w:rsidRPr="00DE6EBC">
              <w:rPr>
                <w:vertAlign w:val="superscript"/>
              </w:rPr>
              <w:t>+++</w:t>
            </w:r>
          </w:p>
          <w:p w:rsidR="00D84858" w:rsidP="00D8370F" w:rsidRDefault="00D84858">
            <w:pPr>
              <w:jc w:val="right"/>
            </w:pPr>
            <w:r w:rsidRPr="00652F28">
              <w:t>0.098</w:t>
            </w:r>
            <w:r w:rsidRPr="00DE6EBC">
              <w:rPr>
                <w:vertAlign w:val="superscript"/>
              </w:rPr>
              <w:t>+</w:t>
            </w:r>
          </w:p>
          <w:p w:rsidR="00D84858" w:rsidP="00D8370F" w:rsidRDefault="00D84858">
            <w:pPr>
              <w:jc w:val="right"/>
            </w:pPr>
            <w:r w:rsidRPr="00652F28">
              <w:t>0.021</w:t>
            </w:r>
          </w:p>
          <w:p w:rsidR="00D84858" w:rsidP="00D8370F" w:rsidRDefault="00D84858">
            <w:pPr>
              <w:jc w:val="right"/>
            </w:pPr>
            <w:r w:rsidRPr="00652F28">
              <w:t>-0.010</w:t>
            </w:r>
          </w:p>
          <w:p w:rsidR="00D84858" w:rsidP="00D8370F" w:rsidRDefault="00D84858">
            <w:pPr>
              <w:jc w:val="right"/>
            </w:pPr>
            <w:r>
              <w:t>(E)</w:t>
            </w:r>
          </w:p>
          <w:p w:rsidR="00D84858" w:rsidP="00D8370F" w:rsidRDefault="00D84858">
            <w:pPr>
              <w:jc w:val="right"/>
            </w:pPr>
            <w:r w:rsidRPr="00652F28">
              <w:t>-0.028</w:t>
            </w:r>
          </w:p>
          <w:p w:rsidR="00D84858" w:rsidP="00D8370F" w:rsidRDefault="00D84858">
            <w:pPr>
              <w:jc w:val="right"/>
            </w:pPr>
            <w:r w:rsidRPr="00652F28">
              <w:t>-0.025</w:t>
            </w:r>
          </w:p>
          <w:p w:rsidR="00D84858" w:rsidP="00D8370F" w:rsidRDefault="00D84858">
            <w:pPr>
              <w:jc w:val="right"/>
            </w:pPr>
            <w:r w:rsidRPr="00652F28">
              <w:t>0.016</w:t>
            </w:r>
          </w:p>
          <w:p w:rsidR="00D84858" w:rsidP="00D8370F" w:rsidRDefault="00D84858">
            <w:pPr>
              <w:jc w:val="right"/>
            </w:pPr>
            <w:r w:rsidRPr="00652F28">
              <w:t>-0.077</w:t>
            </w:r>
            <w:r w:rsidRPr="00DE6EBC">
              <w:rPr>
                <w:vertAlign w:val="superscript"/>
              </w:rPr>
              <w:t>+</w:t>
            </w:r>
          </w:p>
          <w:p w:rsidR="00D84858" w:rsidP="00D8370F" w:rsidRDefault="00D84858">
            <w:pPr>
              <w:jc w:val="right"/>
            </w:pPr>
            <w:r w:rsidRPr="00652F28">
              <w:t>0.290</w:t>
            </w:r>
            <w:r w:rsidRPr="00DE6EBC">
              <w:rPr>
                <w:vertAlign w:val="superscript"/>
              </w:rPr>
              <w:t>+++</w:t>
            </w:r>
          </w:p>
          <w:p w:rsidR="00D84858" w:rsidP="00D8370F" w:rsidRDefault="00D84858">
            <w:pPr>
              <w:jc w:val="right"/>
            </w:pPr>
            <w:r w:rsidRPr="00652F28">
              <w:t>0.047</w:t>
            </w:r>
            <w:r w:rsidRPr="00DE6EBC">
              <w:rPr>
                <w:vertAlign w:val="superscript"/>
              </w:rPr>
              <w:t>+</w:t>
            </w:r>
          </w:p>
        </w:tc>
        <w:tc>
          <w:tcPr>
            <w:tcW w:w="1134" w:type="dxa"/>
          </w:tcPr>
          <w:p w:rsidR="00D84858" w:rsidP="00D8370F" w:rsidRDefault="00D84858">
            <w:pPr>
              <w:jc w:val="right"/>
            </w:pPr>
          </w:p>
          <w:p w:rsidR="00D84858" w:rsidP="00D8370F" w:rsidRDefault="00D84858">
            <w:pPr>
              <w:jc w:val="right"/>
            </w:pPr>
            <w:r w:rsidRPr="00F94421">
              <w:t>0.699</w:t>
            </w:r>
            <w:r w:rsidRPr="00DE6EBC">
              <w:rPr>
                <w:vertAlign w:val="superscript"/>
              </w:rPr>
              <w:t>+++</w:t>
            </w:r>
          </w:p>
          <w:p w:rsidR="00D84858" w:rsidP="00D8370F" w:rsidRDefault="00D84858">
            <w:pPr>
              <w:jc w:val="right"/>
            </w:pPr>
            <w:r w:rsidRPr="00F94421">
              <w:t>0.126</w:t>
            </w:r>
            <w:r w:rsidRPr="00DE6EBC">
              <w:rPr>
                <w:vertAlign w:val="superscript"/>
              </w:rPr>
              <w:t>+++</w:t>
            </w:r>
          </w:p>
          <w:p w:rsidR="00D84858" w:rsidP="00D8370F" w:rsidRDefault="00D84858">
            <w:pPr>
              <w:jc w:val="right"/>
            </w:pPr>
            <w:r w:rsidRPr="00F94421">
              <w:lastRenderedPageBreak/>
              <w:t>-0.053</w:t>
            </w:r>
            <w:r w:rsidRPr="00DE6EBC">
              <w:rPr>
                <w:vertAlign w:val="superscript"/>
              </w:rPr>
              <w:t>++</w:t>
            </w:r>
          </w:p>
          <w:p w:rsidR="00D84858" w:rsidP="00D8370F" w:rsidRDefault="00D84858">
            <w:pPr>
              <w:jc w:val="right"/>
            </w:pPr>
            <w:r w:rsidRPr="00F94421">
              <w:t>-0.011</w:t>
            </w:r>
          </w:p>
          <w:p w:rsidR="00D84858" w:rsidP="00D8370F" w:rsidRDefault="00D84858">
            <w:pPr>
              <w:jc w:val="right"/>
            </w:pPr>
            <w:r w:rsidRPr="00F94421">
              <w:t>0.072</w:t>
            </w:r>
            <w:r w:rsidRPr="00DE6EBC">
              <w:rPr>
                <w:vertAlign w:val="superscript"/>
              </w:rPr>
              <w:t>++</w:t>
            </w:r>
          </w:p>
          <w:p w:rsidR="00D84858" w:rsidP="00D8370F" w:rsidRDefault="00D84858">
            <w:pPr>
              <w:jc w:val="right"/>
            </w:pPr>
            <w:r w:rsidRPr="00F94421">
              <w:t>0.208</w:t>
            </w:r>
            <w:r w:rsidRPr="00DE6EBC">
              <w:rPr>
                <w:vertAlign w:val="superscript"/>
              </w:rPr>
              <w:t>+++</w:t>
            </w:r>
          </w:p>
          <w:p w:rsidR="00D84858" w:rsidP="00D8370F" w:rsidRDefault="00D84858">
            <w:pPr>
              <w:jc w:val="right"/>
            </w:pPr>
            <w:r w:rsidRPr="00F94421">
              <w:t>0.086</w:t>
            </w:r>
            <w:r w:rsidRPr="00DE6EBC">
              <w:rPr>
                <w:vertAlign w:val="superscript"/>
              </w:rPr>
              <w:t>+</w:t>
            </w:r>
          </w:p>
          <w:p w:rsidR="00D84858" w:rsidP="00D8370F" w:rsidRDefault="00D84858">
            <w:pPr>
              <w:jc w:val="right"/>
            </w:pPr>
            <w:r w:rsidRPr="00F94421">
              <w:t>0.026</w:t>
            </w:r>
          </w:p>
          <w:p w:rsidR="00D84858" w:rsidP="00D8370F" w:rsidRDefault="00D84858">
            <w:pPr>
              <w:jc w:val="right"/>
            </w:pPr>
            <w:r w:rsidRPr="00F94421">
              <w:t>0.019</w:t>
            </w:r>
          </w:p>
          <w:p w:rsidR="00D84858" w:rsidP="00D8370F" w:rsidRDefault="00D84858">
            <w:pPr>
              <w:jc w:val="right"/>
            </w:pPr>
            <w:r>
              <w:t>(E)</w:t>
            </w:r>
          </w:p>
          <w:p w:rsidR="00D84858" w:rsidP="00D8370F" w:rsidRDefault="00D84858">
            <w:pPr>
              <w:jc w:val="right"/>
            </w:pPr>
            <w:r w:rsidRPr="00F94421">
              <w:t>-0.066</w:t>
            </w:r>
          </w:p>
          <w:p w:rsidR="00D84858" w:rsidP="00D8370F" w:rsidRDefault="00D84858">
            <w:pPr>
              <w:jc w:val="right"/>
            </w:pPr>
            <w:r w:rsidRPr="00F94421">
              <w:t>-0.079</w:t>
            </w:r>
            <w:r w:rsidRPr="00DE6EBC">
              <w:rPr>
                <w:vertAlign w:val="superscript"/>
              </w:rPr>
              <w:t>+++</w:t>
            </w:r>
          </w:p>
          <w:p w:rsidR="00D84858" w:rsidP="00D8370F" w:rsidRDefault="00D84858">
            <w:pPr>
              <w:jc w:val="right"/>
            </w:pPr>
            <w:r w:rsidRPr="00F94421">
              <w:t>-0.003</w:t>
            </w:r>
          </w:p>
          <w:p w:rsidR="00D84858" w:rsidP="00D8370F" w:rsidRDefault="00D84858">
            <w:pPr>
              <w:jc w:val="right"/>
            </w:pPr>
            <w:r w:rsidRPr="00F94421">
              <w:t>-0.123</w:t>
            </w:r>
            <w:r w:rsidRPr="00DE6EBC">
              <w:rPr>
                <w:vertAlign w:val="superscript"/>
              </w:rPr>
              <w:t>+++</w:t>
            </w:r>
          </w:p>
          <w:p w:rsidR="00D84858" w:rsidP="00D8370F" w:rsidRDefault="00D84858">
            <w:pPr>
              <w:jc w:val="right"/>
            </w:pPr>
            <w:r w:rsidRPr="00F94421">
              <w:t>0.223</w:t>
            </w:r>
            <w:r w:rsidRPr="00DE6EBC">
              <w:rPr>
                <w:vertAlign w:val="superscript"/>
              </w:rPr>
              <w:t>+++</w:t>
            </w:r>
          </w:p>
          <w:p w:rsidR="00D84858" w:rsidP="00D8370F" w:rsidRDefault="00D84858">
            <w:pPr>
              <w:jc w:val="right"/>
            </w:pPr>
            <w:r w:rsidRPr="00F94421">
              <w:t>0.063</w:t>
            </w:r>
            <w:r w:rsidRPr="00DE6EBC">
              <w:rPr>
                <w:vertAlign w:val="superscript"/>
              </w:rPr>
              <w:t>+++</w:t>
            </w:r>
          </w:p>
        </w:tc>
        <w:tc>
          <w:tcPr>
            <w:tcW w:w="1134" w:type="dxa"/>
          </w:tcPr>
          <w:p w:rsidR="00D84858" w:rsidP="00D8370F" w:rsidRDefault="00D84858">
            <w:pPr>
              <w:jc w:val="right"/>
            </w:pPr>
          </w:p>
          <w:p w:rsidR="00D84858" w:rsidP="00D8370F" w:rsidRDefault="00D84858">
            <w:pPr>
              <w:jc w:val="right"/>
            </w:pPr>
            <w:r w:rsidRPr="00D624EC">
              <w:t>0.565</w:t>
            </w:r>
            <w:r w:rsidRPr="00DE6EBC">
              <w:rPr>
                <w:vertAlign w:val="superscript"/>
              </w:rPr>
              <w:t>+++</w:t>
            </w:r>
          </w:p>
          <w:p w:rsidR="00D84858" w:rsidP="00D8370F" w:rsidRDefault="00D84858">
            <w:pPr>
              <w:jc w:val="right"/>
            </w:pPr>
            <w:r w:rsidRPr="00D624EC">
              <w:t>0.068</w:t>
            </w:r>
            <w:r w:rsidRPr="00DE6EBC">
              <w:rPr>
                <w:vertAlign w:val="superscript"/>
              </w:rPr>
              <w:t>+++</w:t>
            </w:r>
          </w:p>
          <w:p w:rsidR="00D84858" w:rsidP="00D8370F" w:rsidRDefault="00D84858">
            <w:pPr>
              <w:jc w:val="right"/>
            </w:pPr>
            <w:r w:rsidRPr="00D624EC">
              <w:lastRenderedPageBreak/>
              <w:t>-0.056</w:t>
            </w:r>
            <w:r w:rsidRPr="00DE6EBC">
              <w:rPr>
                <w:vertAlign w:val="superscript"/>
              </w:rPr>
              <w:t>++</w:t>
            </w:r>
          </w:p>
          <w:p w:rsidR="00D84858" w:rsidP="00D8370F" w:rsidRDefault="00D84858">
            <w:pPr>
              <w:jc w:val="right"/>
            </w:pPr>
            <w:r w:rsidRPr="00D624EC">
              <w:t>-0.056</w:t>
            </w:r>
            <w:r w:rsidRPr="00DE6EBC">
              <w:rPr>
                <w:vertAlign w:val="superscript"/>
              </w:rPr>
              <w:t>+</w:t>
            </w:r>
          </w:p>
          <w:p w:rsidR="00D84858" w:rsidP="00D8370F" w:rsidRDefault="00D84858">
            <w:pPr>
              <w:jc w:val="right"/>
            </w:pPr>
            <w:r w:rsidRPr="00D624EC">
              <w:t>0.073</w:t>
            </w:r>
            <w:r w:rsidRPr="00DE6EBC">
              <w:rPr>
                <w:vertAlign w:val="superscript"/>
              </w:rPr>
              <w:t>++</w:t>
            </w:r>
          </w:p>
          <w:p w:rsidR="00D84858" w:rsidP="00D8370F" w:rsidRDefault="00D84858">
            <w:pPr>
              <w:jc w:val="right"/>
            </w:pPr>
            <w:r w:rsidRPr="00D624EC">
              <w:t>0.126</w:t>
            </w:r>
            <w:r w:rsidRPr="00DE6EBC">
              <w:rPr>
                <w:vertAlign w:val="superscript"/>
              </w:rPr>
              <w:t>+++</w:t>
            </w:r>
          </w:p>
          <w:p w:rsidR="00D84858" w:rsidP="00D8370F" w:rsidRDefault="00D84858">
            <w:pPr>
              <w:jc w:val="right"/>
            </w:pPr>
            <w:r w:rsidRPr="00D624EC">
              <w:t>0.039</w:t>
            </w:r>
          </w:p>
          <w:p w:rsidR="00D84858" w:rsidP="00D8370F" w:rsidRDefault="00D84858">
            <w:pPr>
              <w:jc w:val="right"/>
            </w:pPr>
            <w:r w:rsidRPr="00D624EC">
              <w:t>0.029</w:t>
            </w:r>
          </w:p>
          <w:p w:rsidR="00D84858" w:rsidP="00D8370F" w:rsidRDefault="00D84858">
            <w:pPr>
              <w:jc w:val="right"/>
            </w:pPr>
            <w:r w:rsidRPr="00D624EC">
              <w:t>-0.082</w:t>
            </w:r>
            <w:r w:rsidRPr="00DE6EBC">
              <w:rPr>
                <w:vertAlign w:val="superscript"/>
              </w:rPr>
              <w:t>+</w:t>
            </w:r>
          </w:p>
          <w:p w:rsidR="00D84858" w:rsidP="00D8370F" w:rsidRDefault="00D84858">
            <w:pPr>
              <w:jc w:val="right"/>
            </w:pPr>
            <w:r>
              <w:t>(E)</w:t>
            </w:r>
          </w:p>
          <w:p w:rsidR="00D84858" w:rsidP="00D8370F" w:rsidRDefault="00D84858">
            <w:pPr>
              <w:jc w:val="right"/>
            </w:pPr>
            <w:r w:rsidRPr="00D624EC">
              <w:t>-0.108</w:t>
            </w:r>
            <w:r w:rsidRPr="00DE6EBC">
              <w:rPr>
                <w:vertAlign w:val="superscript"/>
              </w:rPr>
              <w:t>+++</w:t>
            </w:r>
          </w:p>
          <w:p w:rsidR="00D84858" w:rsidP="00D8370F" w:rsidRDefault="00D84858">
            <w:pPr>
              <w:jc w:val="right"/>
            </w:pPr>
            <w:r w:rsidRPr="00D624EC">
              <w:t>-0.038</w:t>
            </w:r>
          </w:p>
          <w:p w:rsidR="00D84858" w:rsidP="00D8370F" w:rsidRDefault="00D84858">
            <w:pPr>
              <w:jc w:val="right"/>
            </w:pPr>
            <w:r w:rsidRPr="00D624EC">
              <w:t>-0.065</w:t>
            </w:r>
          </w:p>
          <w:p w:rsidR="00D84858" w:rsidP="00D8370F" w:rsidRDefault="00D84858">
            <w:pPr>
              <w:jc w:val="right"/>
            </w:pPr>
            <w:r w:rsidRPr="00D624EC">
              <w:t>-0.145</w:t>
            </w:r>
            <w:r w:rsidRPr="00DE6EBC">
              <w:rPr>
                <w:vertAlign w:val="superscript"/>
              </w:rPr>
              <w:t>+++</w:t>
            </w:r>
          </w:p>
          <w:p w:rsidR="00D84858" w:rsidP="00D8370F" w:rsidRDefault="00D84858">
            <w:pPr>
              <w:jc w:val="right"/>
            </w:pPr>
            <w:r w:rsidRPr="00D624EC">
              <w:t>0.111</w:t>
            </w:r>
            <w:r w:rsidRPr="00DE6EBC">
              <w:rPr>
                <w:vertAlign w:val="superscript"/>
              </w:rPr>
              <w:t>+++</w:t>
            </w:r>
          </w:p>
          <w:p w:rsidR="00D84858" w:rsidP="00D8370F" w:rsidRDefault="00D84858">
            <w:pPr>
              <w:jc w:val="right"/>
            </w:pPr>
            <w:r w:rsidRPr="00D624EC">
              <w:t>0.036</w:t>
            </w:r>
            <w:r w:rsidRPr="00DE6EBC">
              <w:rPr>
                <w:vertAlign w:val="superscript"/>
              </w:rPr>
              <w:t>++</w:t>
            </w:r>
          </w:p>
        </w:tc>
      </w:tr>
      <w:tr w:rsidR="00D84858" w:rsidTr="00D8370F">
        <w:trPr>
          <w:jc w:val="center"/>
        </w:trPr>
        <w:tc>
          <w:tcPr>
            <w:tcW w:w="3526" w:type="dxa"/>
          </w:tcPr>
          <w:p w:rsidRPr="00C41880" w:rsidR="00D84858" w:rsidP="00D8370F" w:rsidRDefault="00D84858">
            <w:pPr>
              <w:rPr>
                <w:i/>
              </w:rPr>
            </w:pPr>
            <w:r w:rsidRPr="00C41880">
              <w:rPr>
                <w:i/>
              </w:rPr>
              <w:lastRenderedPageBreak/>
              <w:t xml:space="preserve">Region of </w:t>
            </w:r>
            <w:r>
              <w:rPr>
                <w:i/>
              </w:rPr>
              <w:t>employment</w:t>
            </w:r>
          </w:p>
          <w:p w:rsidR="00D84858" w:rsidP="00D8370F" w:rsidRDefault="00D84858">
            <w:r>
              <w:t>North East</w:t>
            </w:r>
          </w:p>
          <w:p w:rsidR="00D84858" w:rsidP="00D8370F" w:rsidRDefault="00D84858">
            <w:r>
              <w:t>North West</w:t>
            </w:r>
          </w:p>
          <w:p w:rsidR="00D84858" w:rsidP="00D8370F" w:rsidRDefault="00D84858">
            <w:r>
              <w:t>Yorkshire &amp; Humberside</w:t>
            </w:r>
          </w:p>
          <w:p w:rsidR="00D84858" w:rsidP="00D8370F" w:rsidRDefault="00D84858">
            <w:r>
              <w:t>East Midlands</w:t>
            </w:r>
          </w:p>
          <w:p w:rsidR="00D84858" w:rsidP="00D8370F" w:rsidRDefault="00D84858">
            <w:r>
              <w:t>West Midlands</w:t>
            </w:r>
          </w:p>
          <w:p w:rsidR="00D84858" w:rsidP="00D8370F" w:rsidRDefault="00D84858">
            <w:r>
              <w:t>Eastern</w:t>
            </w:r>
          </w:p>
          <w:p w:rsidR="00D84858" w:rsidP="00D8370F" w:rsidRDefault="00D84858">
            <w:r>
              <w:t>London</w:t>
            </w:r>
          </w:p>
          <w:p w:rsidR="00D84858" w:rsidP="00D8370F" w:rsidRDefault="00D84858">
            <w:r>
              <w:t>South East</w:t>
            </w:r>
          </w:p>
          <w:p w:rsidR="00D84858" w:rsidP="00D8370F" w:rsidRDefault="00D84858">
            <w:r>
              <w:t>South West</w:t>
            </w:r>
          </w:p>
          <w:p w:rsidR="00D84858" w:rsidP="00D8370F" w:rsidRDefault="00D84858">
            <w:r>
              <w:t>Wales/Other</w:t>
            </w:r>
          </w:p>
          <w:p w:rsidR="00D84858" w:rsidP="00D8370F" w:rsidRDefault="00D84858">
            <w:r>
              <w:t>Scotland</w:t>
            </w:r>
          </w:p>
          <w:p w:rsidR="00D84858" w:rsidP="00D8370F" w:rsidRDefault="00D84858">
            <w:r>
              <w:t>Northern Ireland</w:t>
            </w:r>
          </w:p>
        </w:tc>
        <w:tc>
          <w:tcPr>
            <w:tcW w:w="1147" w:type="dxa"/>
          </w:tcPr>
          <w:p w:rsidR="00D84858" w:rsidP="00D8370F" w:rsidRDefault="00D84858">
            <w:pPr>
              <w:jc w:val="right"/>
            </w:pPr>
          </w:p>
          <w:p w:rsidR="00D84858" w:rsidP="00D8370F" w:rsidRDefault="00D84858">
            <w:pPr>
              <w:jc w:val="right"/>
            </w:pPr>
            <w:r w:rsidRPr="00652F28">
              <w:t>-0.053</w:t>
            </w:r>
          </w:p>
          <w:p w:rsidR="00D84858" w:rsidP="00D8370F" w:rsidRDefault="00D84858">
            <w:pPr>
              <w:jc w:val="right"/>
            </w:pPr>
            <w:r w:rsidRPr="00652F28">
              <w:t>-0.035</w:t>
            </w:r>
          </w:p>
          <w:p w:rsidR="00D84858" w:rsidP="00D8370F" w:rsidRDefault="00D84858">
            <w:pPr>
              <w:jc w:val="right"/>
            </w:pPr>
            <w:r w:rsidRPr="00652F28">
              <w:t>-0.040</w:t>
            </w:r>
          </w:p>
          <w:p w:rsidR="00D84858" w:rsidP="00D8370F" w:rsidRDefault="00D84858">
            <w:pPr>
              <w:jc w:val="right"/>
            </w:pPr>
            <w:r>
              <w:t>(E)</w:t>
            </w:r>
          </w:p>
          <w:p w:rsidR="00D84858" w:rsidP="00D8370F" w:rsidRDefault="00D84858">
            <w:pPr>
              <w:jc w:val="right"/>
            </w:pPr>
            <w:r w:rsidRPr="00652F28">
              <w:t>-0.074</w:t>
            </w:r>
            <w:r w:rsidRPr="00DE6EBC">
              <w:rPr>
                <w:vertAlign w:val="superscript"/>
              </w:rPr>
              <w:t>+</w:t>
            </w:r>
          </w:p>
          <w:p w:rsidR="00D84858" w:rsidP="00D8370F" w:rsidRDefault="00D84858">
            <w:pPr>
              <w:jc w:val="right"/>
            </w:pPr>
            <w:r w:rsidRPr="00652F28">
              <w:t>0.011</w:t>
            </w:r>
          </w:p>
          <w:p w:rsidR="00D84858" w:rsidP="00D8370F" w:rsidRDefault="00D84858">
            <w:pPr>
              <w:jc w:val="right"/>
            </w:pPr>
            <w:r w:rsidRPr="00652F28">
              <w:t>0.128</w:t>
            </w:r>
            <w:r w:rsidRPr="00DE6EBC">
              <w:rPr>
                <w:vertAlign w:val="superscript"/>
              </w:rPr>
              <w:t>+++</w:t>
            </w:r>
          </w:p>
          <w:p w:rsidR="00D84858" w:rsidP="00D8370F" w:rsidRDefault="00D84858">
            <w:pPr>
              <w:jc w:val="right"/>
            </w:pPr>
            <w:r w:rsidRPr="00652F28">
              <w:t>0.022</w:t>
            </w:r>
          </w:p>
          <w:p w:rsidR="00D84858" w:rsidP="00D8370F" w:rsidRDefault="00D84858">
            <w:pPr>
              <w:jc w:val="right"/>
            </w:pPr>
            <w:r w:rsidRPr="00652F28">
              <w:t>-0.049</w:t>
            </w:r>
          </w:p>
          <w:p w:rsidR="00D84858" w:rsidP="00D8370F" w:rsidRDefault="00D84858">
            <w:pPr>
              <w:jc w:val="right"/>
            </w:pPr>
            <w:r w:rsidRPr="00652F28">
              <w:t>-0.145</w:t>
            </w:r>
            <w:r w:rsidRPr="00DE6EBC">
              <w:rPr>
                <w:vertAlign w:val="superscript"/>
              </w:rPr>
              <w:t>+++</w:t>
            </w:r>
          </w:p>
          <w:p w:rsidR="00D84858" w:rsidP="00D8370F" w:rsidRDefault="00D84858">
            <w:pPr>
              <w:jc w:val="right"/>
            </w:pPr>
            <w:r w:rsidRPr="00652F28">
              <w:t>-0.089</w:t>
            </w:r>
            <w:r w:rsidRPr="00DE6EBC">
              <w:rPr>
                <w:vertAlign w:val="superscript"/>
              </w:rPr>
              <w:t>++</w:t>
            </w:r>
          </w:p>
          <w:p w:rsidR="00D84858" w:rsidP="00D8370F" w:rsidRDefault="00D84858">
            <w:pPr>
              <w:jc w:val="right"/>
            </w:pPr>
            <w:r w:rsidRPr="00652F28">
              <w:t>-0.135</w:t>
            </w:r>
            <w:r w:rsidRPr="00DE6EBC">
              <w:rPr>
                <w:vertAlign w:val="superscript"/>
              </w:rPr>
              <w:t>+++</w:t>
            </w:r>
          </w:p>
        </w:tc>
        <w:tc>
          <w:tcPr>
            <w:tcW w:w="1134" w:type="dxa"/>
          </w:tcPr>
          <w:p w:rsidR="00D84858" w:rsidP="00D8370F" w:rsidRDefault="00D84858">
            <w:pPr>
              <w:jc w:val="right"/>
            </w:pPr>
          </w:p>
          <w:p w:rsidR="00D84858" w:rsidP="00D8370F" w:rsidRDefault="00D84858">
            <w:pPr>
              <w:jc w:val="right"/>
            </w:pPr>
            <w:r w:rsidRPr="00F94421">
              <w:t>0.004</w:t>
            </w:r>
          </w:p>
          <w:p w:rsidR="00D84858" w:rsidP="00D8370F" w:rsidRDefault="00D84858">
            <w:pPr>
              <w:jc w:val="right"/>
            </w:pPr>
            <w:r w:rsidRPr="00F94421">
              <w:t>-0.045</w:t>
            </w:r>
          </w:p>
          <w:p w:rsidR="00D84858" w:rsidP="00D8370F" w:rsidRDefault="00D84858">
            <w:pPr>
              <w:jc w:val="right"/>
            </w:pPr>
            <w:r w:rsidRPr="00F94421">
              <w:t>-0.036</w:t>
            </w:r>
          </w:p>
          <w:p w:rsidR="00D84858" w:rsidP="00D8370F" w:rsidRDefault="00D84858">
            <w:pPr>
              <w:jc w:val="right"/>
            </w:pPr>
            <w:r>
              <w:t>(E)</w:t>
            </w:r>
          </w:p>
          <w:p w:rsidR="00D84858" w:rsidP="00D8370F" w:rsidRDefault="00D84858">
            <w:pPr>
              <w:jc w:val="right"/>
            </w:pPr>
            <w:r w:rsidRPr="00F94421">
              <w:t>-0.040</w:t>
            </w:r>
          </w:p>
          <w:p w:rsidR="00D84858" w:rsidP="00D8370F" w:rsidRDefault="00D84858">
            <w:pPr>
              <w:jc w:val="right"/>
            </w:pPr>
            <w:r w:rsidRPr="00F94421">
              <w:t>0.018</w:t>
            </w:r>
          </w:p>
          <w:p w:rsidR="00D84858" w:rsidP="00D8370F" w:rsidRDefault="00D84858">
            <w:pPr>
              <w:jc w:val="right"/>
            </w:pPr>
            <w:r w:rsidRPr="00F94421">
              <w:t>0.127</w:t>
            </w:r>
            <w:r w:rsidRPr="00DE6EBC">
              <w:rPr>
                <w:vertAlign w:val="superscript"/>
              </w:rPr>
              <w:t>+++</w:t>
            </w:r>
          </w:p>
          <w:p w:rsidR="00D84858" w:rsidP="00D8370F" w:rsidRDefault="00D84858">
            <w:pPr>
              <w:jc w:val="right"/>
            </w:pPr>
            <w:r w:rsidRPr="00F94421">
              <w:t>0.070</w:t>
            </w:r>
            <w:r w:rsidRPr="00DE6EBC">
              <w:rPr>
                <w:vertAlign w:val="superscript"/>
              </w:rPr>
              <w:t>++</w:t>
            </w:r>
          </w:p>
          <w:p w:rsidR="00D84858" w:rsidP="00D8370F" w:rsidRDefault="00D84858">
            <w:pPr>
              <w:jc w:val="right"/>
            </w:pPr>
            <w:r w:rsidRPr="00F94421">
              <w:t>-0.058</w:t>
            </w:r>
            <w:r w:rsidRPr="00DE6EBC">
              <w:rPr>
                <w:vertAlign w:val="superscript"/>
              </w:rPr>
              <w:t>+</w:t>
            </w:r>
          </w:p>
          <w:p w:rsidR="00D84858" w:rsidP="00D8370F" w:rsidRDefault="00D84858">
            <w:pPr>
              <w:jc w:val="right"/>
            </w:pPr>
            <w:r w:rsidRPr="00F94421">
              <w:t>-0.151</w:t>
            </w:r>
            <w:r w:rsidRPr="00DE6EBC">
              <w:rPr>
                <w:vertAlign w:val="superscript"/>
              </w:rPr>
              <w:t>+++</w:t>
            </w:r>
          </w:p>
          <w:p w:rsidR="00D84858" w:rsidP="00D8370F" w:rsidRDefault="00D84858">
            <w:pPr>
              <w:jc w:val="right"/>
            </w:pPr>
            <w:r w:rsidRPr="00F94421">
              <w:t>-0.067</w:t>
            </w:r>
            <w:r w:rsidRPr="00DE6EBC">
              <w:rPr>
                <w:vertAlign w:val="superscript"/>
              </w:rPr>
              <w:t>+++</w:t>
            </w:r>
          </w:p>
          <w:p w:rsidR="00D84858" w:rsidP="00D8370F" w:rsidRDefault="00D84858">
            <w:pPr>
              <w:jc w:val="right"/>
            </w:pPr>
            <w:r w:rsidRPr="00F94421">
              <w:t>-0.117</w:t>
            </w:r>
            <w:r w:rsidRPr="00DE6EBC">
              <w:rPr>
                <w:vertAlign w:val="superscript"/>
              </w:rPr>
              <w:t>+++</w:t>
            </w:r>
          </w:p>
        </w:tc>
        <w:tc>
          <w:tcPr>
            <w:tcW w:w="1134" w:type="dxa"/>
          </w:tcPr>
          <w:p w:rsidR="00D84858" w:rsidP="00D8370F" w:rsidRDefault="00D84858">
            <w:pPr>
              <w:jc w:val="right"/>
            </w:pPr>
          </w:p>
          <w:p w:rsidR="00D84858" w:rsidP="00D8370F" w:rsidRDefault="00D84858">
            <w:pPr>
              <w:jc w:val="right"/>
            </w:pPr>
            <w:r w:rsidRPr="00D624EC">
              <w:t>0.017</w:t>
            </w:r>
          </w:p>
          <w:p w:rsidR="00D84858" w:rsidP="00D8370F" w:rsidRDefault="00D84858">
            <w:pPr>
              <w:jc w:val="right"/>
            </w:pPr>
            <w:r w:rsidRPr="00D624EC">
              <w:t>-0.031</w:t>
            </w:r>
          </w:p>
          <w:p w:rsidR="00D84858" w:rsidP="00D8370F" w:rsidRDefault="00D84858">
            <w:pPr>
              <w:jc w:val="right"/>
            </w:pPr>
            <w:r w:rsidRPr="00D624EC">
              <w:t>-0.019</w:t>
            </w:r>
          </w:p>
          <w:p w:rsidR="00D84858" w:rsidP="00D8370F" w:rsidRDefault="00D84858">
            <w:pPr>
              <w:jc w:val="right"/>
            </w:pPr>
            <w:r>
              <w:t>(E)</w:t>
            </w:r>
          </w:p>
          <w:p w:rsidR="00D84858" w:rsidP="00D8370F" w:rsidRDefault="00D84858">
            <w:pPr>
              <w:jc w:val="right"/>
            </w:pPr>
            <w:r w:rsidRPr="00D624EC">
              <w:t>-0.010</w:t>
            </w:r>
          </w:p>
          <w:p w:rsidR="00D84858" w:rsidP="00D8370F" w:rsidRDefault="00D84858">
            <w:pPr>
              <w:jc w:val="right"/>
            </w:pPr>
            <w:r w:rsidRPr="00D624EC">
              <w:t>0.027</w:t>
            </w:r>
          </w:p>
          <w:p w:rsidR="00D84858" w:rsidP="00D8370F" w:rsidRDefault="00D84858">
            <w:pPr>
              <w:jc w:val="right"/>
            </w:pPr>
            <w:r w:rsidRPr="00D624EC">
              <w:t>0.153</w:t>
            </w:r>
            <w:r w:rsidRPr="00DE6EBC">
              <w:rPr>
                <w:vertAlign w:val="superscript"/>
              </w:rPr>
              <w:t>+++</w:t>
            </w:r>
          </w:p>
          <w:p w:rsidR="00D84858" w:rsidP="00D8370F" w:rsidRDefault="00D84858">
            <w:pPr>
              <w:jc w:val="right"/>
            </w:pPr>
            <w:r w:rsidRPr="00D624EC">
              <w:t>0.065</w:t>
            </w:r>
            <w:r w:rsidRPr="00DE6EBC">
              <w:rPr>
                <w:vertAlign w:val="superscript"/>
              </w:rPr>
              <w:t>++</w:t>
            </w:r>
          </w:p>
          <w:p w:rsidR="00D84858" w:rsidP="00D8370F" w:rsidRDefault="00D84858">
            <w:pPr>
              <w:jc w:val="right"/>
            </w:pPr>
            <w:r w:rsidRPr="00D624EC">
              <w:t>-0.054</w:t>
            </w:r>
          </w:p>
          <w:p w:rsidR="00D84858" w:rsidP="00D8370F" w:rsidRDefault="00D84858">
            <w:pPr>
              <w:jc w:val="right"/>
            </w:pPr>
            <w:r w:rsidRPr="00D624EC">
              <w:t>-0.075</w:t>
            </w:r>
            <w:r w:rsidRPr="00DE6EBC">
              <w:rPr>
                <w:vertAlign w:val="superscript"/>
              </w:rPr>
              <w:t>+</w:t>
            </w:r>
          </w:p>
          <w:p w:rsidR="00D84858" w:rsidP="00D8370F" w:rsidRDefault="00D84858">
            <w:pPr>
              <w:jc w:val="right"/>
            </w:pPr>
            <w:r w:rsidRPr="00D624EC">
              <w:t>-0.022</w:t>
            </w:r>
          </w:p>
          <w:p w:rsidR="00D84858" w:rsidP="00D8370F" w:rsidRDefault="00D84858">
            <w:pPr>
              <w:jc w:val="right"/>
            </w:pPr>
            <w:r w:rsidRPr="00D624EC">
              <w:t>-0.054</w:t>
            </w:r>
            <w:r w:rsidRPr="00DE6EBC">
              <w:rPr>
                <w:vertAlign w:val="superscript"/>
              </w:rPr>
              <w:t>+</w:t>
            </w:r>
          </w:p>
        </w:tc>
      </w:tr>
      <w:tr w:rsidR="00D84858" w:rsidTr="00D8370F">
        <w:trPr>
          <w:jc w:val="center"/>
        </w:trPr>
        <w:tc>
          <w:tcPr>
            <w:tcW w:w="3526" w:type="dxa"/>
          </w:tcPr>
          <w:p w:rsidRPr="00267A0D" w:rsidR="00D84858" w:rsidP="00D8370F" w:rsidRDefault="00D84858">
            <w:r>
              <w:t>Constant</w:t>
            </w:r>
          </w:p>
        </w:tc>
        <w:tc>
          <w:tcPr>
            <w:tcW w:w="1147" w:type="dxa"/>
          </w:tcPr>
          <w:p w:rsidR="00D84858" w:rsidP="00D8370F" w:rsidRDefault="00D84858">
            <w:pPr>
              <w:jc w:val="right"/>
            </w:pPr>
            <w:r w:rsidRPr="00652F28">
              <w:t>7.838</w:t>
            </w:r>
            <w:r w:rsidRPr="00DE6EBC">
              <w:rPr>
                <w:vertAlign w:val="superscript"/>
              </w:rPr>
              <w:t>+++</w:t>
            </w:r>
          </w:p>
        </w:tc>
        <w:tc>
          <w:tcPr>
            <w:tcW w:w="1134" w:type="dxa"/>
          </w:tcPr>
          <w:p w:rsidR="00D84858" w:rsidP="00D8370F" w:rsidRDefault="00D84858">
            <w:pPr>
              <w:jc w:val="right"/>
            </w:pPr>
            <w:r w:rsidRPr="00F94421">
              <w:t>8.853</w:t>
            </w:r>
            <w:r w:rsidRPr="00DE6EBC">
              <w:rPr>
                <w:vertAlign w:val="superscript"/>
              </w:rPr>
              <w:t>+++</w:t>
            </w:r>
          </w:p>
        </w:tc>
        <w:tc>
          <w:tcPr>
            <w:tcW w:w="1134" w:type="dxa"/>
          </w:tcPr>
          <w:p w:rsidR="00D84858" w:rsidP="00D8370F" w:rsidRDefault="00D84858">
            <w:pPr>
              <w:jc w:val="right"/>
            </w:pPr>
            <w:r w:rsidRPr="00D624EC">
              <w:t>8.831</w:t>
            </w:r>
            <w:r w:rsidRPr="00DE6EBC">
              <w:rPr>
                <w:vertAlign w:val="superscript"/>
              </w:rPr>
              <w:t>+++</w:t>
            </w:r>
          </w:p>
        </w:tc>
      </w:tr>
      <w:tr w:rsidR="00D84858" w:rsidTr="00D8370F">
        <w:trPr>
          <w:jc w:val="center"/>
        </w:trPr>
        <w:tc>
          <w:tcPr>
            <w:tcW w:w="3526" w:type="dxa"/>
          </w:tcPr>
          <w:p w:rsidR="00D84858" w:rsidP="00D8370F" w:rsidRDefault="00D84858">
            <w:r>
              <w:t>Sample size</w:t>
            </w:r>
          </w:p>
        </w:tc>
        <w:tc>
          <w:tcPr>
            <w:tcW w:w="3415" w:type="dxa"/>
            <w:gridSpan w:val="3"/>
          </w:tcPr>
          <w:p w:rsidR="00D84858" w:rsidP="00D8370F" w:rsidRDefault="00D84858">
            <w:pPr>
              <w:jc w:val="center"/>
            </w:pPr>
            <w:r>
              <w:t>3,708</w:t>
            </w:r>
          </w:p>
        </w:tc>
      </w:tr>
    </w:tbl>
    <w:p w:rsidR="00D84858" w:rsidP="00D84858" w:rsidRDefault="00D84858">
      <w:pPr>
        <w:spacing w:after="0" w:line="240" w:lineRule="auto"/>
      </w:pPr>
    </w:p>
    <w:p w:rsidR="00D84858" w:rsidP="00D84858" w:rsidRDefault="00D84858">
      <w:pPr>
        <w:spacing w:after="0" w:line="240" w:lineRule="auto"/>
        <w:ind w:left="709" w:hanging="709"/>
        <w:jc w:val="both"/>
      </w:pPr>
      <w:r w:rsidRPr="00603659">
        <w:rPr>
          <w:i/>
        </w:rPr>
        <w:t>Note</w:t>
      </w:r>
      <w:r>
        <w:rPr>
          <w:i/>
        </w:rPr>
        <w:t>s</w:t>
      </w:r>
      <w:r>
        <w:t>:</w:t>
      </w:r>
      <w:r>
        <w:tab/>
        <w:t xml:space="preserve">(E) denotes and excluded reference category; </w:t>
      </w:r>
      <w:r w:rsidRPr="00DE6EBC">
        <w:rPr>
          <w:vertAlign w:val="superscript"/>
        </w:rPr>
        <w:t>+</w:t>
      </w:r>
      <w:r>
        <w:t>/</w:t>
      </w:r>
      <w:r w:rsidRPr="00DE6EBC">
        <w:rPr>
          <w:vertAlign w:val="superscript"/>
        </w:rPr>
        <w:t>++</w:t>
      </w:r>
      <w:r>
        <w:t>/</w:t>
      </w:r>
      <w:r w:rsidRPr="00DE6EBC">
        <w:rPr>
          <w:vertAlign w:val="superscript"/>
        </w:rPr>
        <w:t>+++</w:t>
      </w:r>
      <w:r>
        <w:t xml:space="preserve"> denotes statistical significance at the 90%/95%/99% level respectively.</w:t>
      </w:r>
    </w:p>
    <w:p w:rsidR="00D84858" w:rsidP="009274A3" w:rsidRDefault="00D84858">
      <w:pPr>
        <w:spacing w:after="0" w:line="360" w:lineRule="auto"/>
        <w:jc w:val="both"/>
      </w:pPr>
    </w:p>
    <w:p w:rsidR="00030C1F" w:rsidP="001F0136" w:rsidRDefault="00030C1F">
      <w:pPr>
        <w:spacing w:after="0" w:line="360" w:lineRule="auto"/>
        <w:jc w:val="both"/>
      </w:pPr>
    </w:p>
    <w:p w:rsidR="001F0136" w:rsidP="001F0136" w:rsidRDefault="001F0136">
      <w:pPr>
        <w:spacing w:after="0" w:line="360" w:lineRule="auto"/>
        <w:jc w:val="both"/>
      </w:pPr>
      <w:r>
        <w:t xml:space="preserve">Interestingly, controlling for quality of university attended, via institution type and a measure of university research pedigree, shows no significant effect upon individual earnings </w:t>
      </w:r>
      <w:r w:rsidRPr="00C14183">
        <w:rPr>
          <w:i/>
        </w:rPr>
        <w:t>ceteris paribus</w:t>
      </w:r>
      <w:r>
        <w:t>. Furthermore, it is also apparent that the earnings advantage experienced by males only occurs at the median and above and that the earnings disadvantage of non-whites is not found at the lower quartile. This again reinforces the notion that analysis of the mean provides only a partial view of the economic impact upon graduate outcomes.</w:t>
      </w:r>
    </w:p>
    <w:p w:rsidR="001F0136" w:rsidP="001F0136" w:rsidRDefault="001F0136">
      <w:pPr>
        <w:spacing w:after="0" w:line="360" w:lineRule="auto"/>
        <w:jc w:val="both"/>
      </w:pPr>
    </w:p>
    <w:p w:rsidR="00D04362" w:rsidP="009274A3" w:rsidRDefault="001F0136">
      <w:pPr>
        <w:spacing w:after="0" w:line="360" w:lineRule="auto"/>
        <w:jc w:val="both"/>
      </w:pPr>
      <w:r>
        <w:t xml:space="preserve">Based upon the underlying quantile regressions for each of the five categories of graduate mobility, </w:t>
      </w:r>
      <w:r w:rsidRPr="00885563">
        <w:t>Figure 1</w:t>
      </w:r>
      <w:r w:rsidRPr="00C14183">
        <w:t xml:space="preserve"> </w:t>
      </w:r>
      <w:r w:rsidRPr="00885563">
        <w:t>graphically display</w:t>
      </w:r>
      <w:r w:rsidRPr="00C14183">
        <w:t>s</w:t>
      </w:r>
      <w:r w:rsidRPr="00885563">
        <w:t xml:space="preserve"> the </w:t>
      </w:r>
      <w:r w:rsidRPr="00C14183">
        <w:t>earnings premium (i.e. the coefficient effect) from</w:t>
      </w:r>
      <w:r>
        <w:t xml:space="preserve"> the</w:t>
      </w:r>
      <w:r w:rsidRPr="00C14183">
        <w:t xml:space="preserve"> </w:t>
      </w:r>
      <w:r w:rsidRPr="00885563">
        <w:t>decomposition described in equation [</w:t>
      </w:r>
      <w:r w:rsidR="003C7F8C">
        <w:t>5</w:t>
      </w:r>
      <w:r w:rsidRPr="00885563">
        <w:t xml:space="preserve">]. </w:t>
      </w:r>
      <w:r>
        <w:t xml:space="preserve">The figures illustrate results for each of the four mover-categories of graduates relative to those who neither move to university nor subsequently move to </w:t>
      </w:r>
      <w:r>
        <w:lastRenderedPageBreak/>
        <w:t xml:space="preserve">work. Given that the analysis is restricted to graduates in the workforce, one might anticipate a fairly homogeneous group, implying </w:t>
      </w:r>
      <w:r w:rsidRPr="00C94FCE">
        <w:t xml:space="preserve">we </w:t>
      </w:r>
      <w:r>
        <w:t>would</w:t>
      </w:r>
      <w:r w:rsidRPr="00C94FCE">
        <w:t xml:space="preserve"> not expect to observe systematic differences in earnings</w:t>
      </w:r>
      <w:r>
        <w:t xml:space="preserve"> </w:t>
      </w:r>
      <w:r w:rsidRPr="00C94FCE" w:rsidR="009274A3">
        <w:t>determination across mover categories</w:t>
      </w:r>
      <w:r w:rsidR="009274A3">
        <w:t xml:space="preserve">, particularly once </w:t>
      </w:r>
      <w:r w:rsidR="005B73D3">
        <w:t xml:space="preserve">we have controlled for </w:t>
      </w:r>
      <w:r w:rsidR="009274A3">
        <w:t>degree outcomes and region of employment</w:t>
      </w:r>
      <w:r w:rsidRPr="00C94FCE" w:rsidR="009274A3">
        <w:t xml:space="preserve">. </w:t>
      </w:r>
      <w:r w:rsidR="00FA4CCD">
        <w:t>Homogeneity would in turn imply</w:t>
      </w:r>
      <w:r w:rsidR="009274A3">
        <w:t xml:space="preserve"> </w:t>
      </w:r>
      <w:r w:rsidR="00FA4CCD">
        <w:t>a negligible</w:t>
      </w:r>
      <w:r w:rsidRPr="00C94FCE" w:rsidR="00FA4CCD">
        <w:t xml:space="preserve"> </w:t>
      </w:r>
      <w:r w:rsidRPr="00C94FCE" w:rsidR="009274A3">
        <w:t xml:space="preserve">coefficient effect </w:t>
      </w:r>
      <w:r w:rsidR="009274A3">
        <w:t xml:space="preserve">in the decomposition framework </w:t>
      </w:r>
      <w:r w:rsidR="00C25051">
        <w:t>with</w:t>
      </w:r>
      <w:r w:rsidRPr="00C94FCE" w:rsidR="009274A3">
        <w:t xml:space="preserve"> differences in observed earnings attributable to compositional differences related to individual, job and regional characteristics.</w:t>
      </w:r>
      <w:r w:rsidR="009274A3">
        <w:t xml:space="preserve"> </w:t>
      </w:r>
      <w:r w:rsidR="00C25051">
        <w:t>Alternatively</w:t>
      </w:r>
      <w:r>
        <w:t>,</w:t>
      </w:r>
      <w:r w:rsidRPr="00C94FCE" w:rsidR="009274A3">
        <w:t xml:space="preserve"> instances where different </w:t>
      </w:r>
      <w:r w:rsidR="009274A3">
        <w:t xml:space="preserve">mobility </w:t>
      </w:r>
      <w:r w:rsidRPr="00C94FCE" w:rsidR="009274A3">
        <w:t>groups receive a systematic earnings advantage, i.e. an earnings premium, would be characterised by an identifiable coefficient effect.</w:t>
      </w:r>
      <w:r w:rsidR="00C91578">
        <w:t xml:space="preserve"> </w:t>
      </w:r>
      <w:r w:rsidR="009274A3">
        <w:t xml:space="preserve">Under such a scenario, heterogeneity would exist </w:t>
      </w:r>
      <w:r w:rsidR="00F55831">
        <w:t xml:space="preserve">across </w:t>
      </w:r>
      <w:r w:rsidR="009274A3">
        <w:t xml:space="preserve">groups, </w:t>
      </w:r>
      <w:r>
        <w:t xml:space="preserve">but </w:t>
      </w:r>
      <w:r w:rsidR="009274A3">
        <w:t xml:space="preserve">not heterogeneity in observed characteristics but rather in unobserved characteristics such as motivation and innate ability. This hypothesis is </w:t>
      </w:r>
      <w:r w:rsidR="00F55831">
        <w:t xml:space="preserve">examined </w:t>
      </w:r>
      <w:r w:rsidR="009274A3">
        <w:t xml:space="preserve">in Figure 1, </w:t>
      </w:r>
      <w:r w:rsidR="00C91578">
        <w:t xml:space="preserve">with </w:t>
      </w:r>
      <w:r w:rsidR="009274A3">
        <w:t xml:space="preserve">the </w:t>
      </w:r>
      <w:r w:rsidR="001074E9">
        <w:t>various</w:t>
      </w:r>
      <w:r w:rsidRPr="00C94FCE" w:rsidR="001074E9">
        <w:t xml:space="preserve"> </w:t>
      </w:r>
      <w:r w:rsidRPr="00C94FCE" w:rsidR="009274A3">
        <w:t>panels plot</w:t>
      </w:r>
      <w:r w:rsidR="001074E9">
        <w:t>ting</w:t>
      </w:r>
      <w:r w:rsidRPr="00C94FCE" w:rsidR="009274A3">
        <w:t xml:space="preserve"> earnings premia for each of the mobility categories across the distribution</w:t>
      </w:r>
      <w:r w:rsidR="009274A3">
        <w:t xml:space="preserve"> against a common baseline of those who </w:t>
      </w:r>
      <w:r w:rsidR="00C25051">
        <w:t xml:space="preserve">do </w:t>
      </w:r>
      <w:r w:rsidR="009274A3">
        <w:t>not move.</w:t>
      </w:r>
    </w:p>
    <w:p w:rsidR="008506EA" w:rsidP="009274A3" w:rsidRDefault="008506EA">
      <w:pPr>
        <w:spacing w:after="0" w:line="360" w:lineRule="auto"/>
        <w:jc w:val="both"/>
      </w:pPr>
    </w:p>
    <w:p w:rsidR="008B019B" w:rsidP="008B019B" w:rsidRDefault="008B019B">
      <w:pPr>
        <w:spacing w:after="0" w:line="360" w:lineRule="auto"/>
        <w:jc w:val="both"/>
      </w:pPr>
      <w:r w:rsidRPr="00DE6EBC">
        <w:rPr>
          <w:color w:val="000000" w:themeColor="text1"/>
        </w:rPr>
        <w:t xml:space="preserve">We replicate figures based on the three distinct distance measures of 25, 50 and 100km. However, given the special nature of London as a </w:t>
      </w:r>
      <w:r>
        <w:rPr>
          <w:color w:val="000000" w:themeColor="text1"/>
        </w:rPr>
        <w:t>centre</w:t>
      </w:r>
      <w:r w:rsidRPr="00DE6EBC">
        <w:rPr>
          <w:color w:val="000000" w:themeColor="text1"/>
        </w:rPr>
        <w:t xml:space="preserve"> of both graduate education and employment, we </w:t>
      </w:r>
      <w:r>
        <w:rPr>
          <w:color w:val="000000" w:themeColor="text1"/>
        </w:rPr>
        <w:t>distinguish</w:t>
      </w:r>
      <w:r w:rsidRPr="00DE6EBC">
        <w:rPr>
          <w:color w:val="000000" w:themeColor="text1"/>
        </w:rPr>
        <w:t xml:space="preserve"> those who remain </w:t>
      </w:r>
      <w:r>
        <w:rPr>
          <w:color w:val="000000" w:themeColor="text1"/>
        </w:rPr>
        <w:t>in London</w:t>
      </w:r>
      <w:r w:rsidRPr="00DE6EBC">
        <w:rPr>
          <w:color w:val="000000" w:themeColor="text1"/>
        </w:rPr>
        <w:t xml:space="preserve"> </w:t>
      </w:r>
      <w:r>
        <w:rPr>
          <w:color w:val="000000" w:themeColor="text1"/>
        </w:rPr>
        <w:t>from</w:t>
      </w:r>
      <w:r w:rsidRPr="00DE6EBC">
        <w:rPr>
          <w:color w:val="000000" w:themeColor="text1"/>
        </w:rPr>
        <w:t xml:space="preserve"> non-movers more generally. For this reason, the results in Figure 1 </w:t>
      </w:r>
      <w:r>
        <w:rPr>
          <w:color w:val="000000" w:themeColor="text1"/>
        </w:rPr>
        <w:t>exclude</w:t>
      </w:r>
      <w:r w:rsidRPr="00DE6EBC">
        <w:rPr>
          <w:color w:val="000000" w:themeColor="text1"/>
        </w:rPr>
        <w:t xml:space="preserve"> those who report their domicile, institution and employment region as </w:t>
      </w:r>
      <w:r>
        <w:rPr>
          <w:color w:val="000000" w:themeColor="text1"/>
        </w:rPr>
        <w:t xml:space="preserve">all </w:t>
      </w:r>
      <w:r w:rsidRPr="00DE6EBC">
        <w:rPr>
          <w:color w:val="000000" w:themeColor="text1"/>
        </w:rPr>
        <w:t>being within London (defined as a government office region). However, it should be noted that this exclusion in no way drives any of the results or conclusions</w:t>
      </w:r>
      <w:r>
        <w:rPr>
          <w:color w:val="000000" w:themeColor="text1"/>
        </w:rPr>
        <w:t>. We concentrate</w:t>
      </w:r>
      <w:r w:rsidRPr="00DE6EBC">
        <w:rPr>
          <w:color w:val="000000" w:themeColor="text1"/>
        </w:rPr>
        <w:t xml:space="preserve"> initially on the results at 100km given the similarity </w:t>
      </w:r>
      <w:r>
        <w:rPr>
          <w:color w:val="000000" w:themeColor="text1"/>
        </w:rPr>
        <w:t>with</w:t>
      </w:r>
      <w:r w:rsidRPr="00DE6EBC">
        <w:rPr>
          <w:color w:val="000000" w:themeColor="text1"/>
        </w:rPr>
        <w:t xml:space="preserve"> </w:t>
      </w:r>
      <w:r>
        <w:rPr>
          <w:color w:val="000000" w:themeColor="text1"/>
        </w:rPr>
        <w:t xml:space="preserve">the </w:t>
      </w:r>
      <w:r w:rsidRPr="00DE6EBC">
        <w:rPr>
          <w:color w:val="000000" w:themeColor="text1"/>
        </w:rPr>
        <w:t xml:space="preserve">50km </w:t>
      </w:r>
      <w:r>
        <w:rPr>
          <w:color w:val="000000" w:themeColor="text1"/>
        </w:rPr>
        <w:t>threshold</w:t>
      </w:r>
      <w:r w:rsidRPr="00DE6EBC">
        <w:rPr>
          <w:color w:val="000000" w:themeColor="text1"/>
        </w:rPr>
        <w:t xml:space="preserve">. While full decomposition results are </w:t>
      </w:r>
      <w:r>
        <w:rPr>
          <w:color w:val="000000" w:themeColor="text1"/>
        </w:rPr>
        <w:t>relegated to</w:t>
      </w:r>
      <w:r w:rsidRPr="00DE6EBC">
        <w:rPr>
          <w:color w:val="000000" w:themeColor="text1"/>
        </w:rPr>
        <w:t xml:space="preserve"> Appendix Table 2, the focus of Figure 1 and its accompanying discussion </w:t>
      </w:r>
      <w:r>
        <w:rPr>
          <w:color w:val="000000" w:themeColor="text1"/>
        </w:rPr>
        <w:t>relates</w:t>
      </w:r>
      <w:r w:rsidRPr="00DE6EBC">
        <w:rPr>
          <w:color w:val="000000" w:themeColor="text1"/>
        </w:rPr>
        <w:t xml:space="preserve"> exclusively </w:t>
      </w:r>
      <w:r>
        <w:rPr>
          <w:color w:val="000000" w:themeColor="text1"/>
        </w:rPr>
        <w:t xml:space="preserve">to </w:t>
      </w:r>
      <w:r w:rsidRPr="00DE6EBC">
        <w:rPr>
          <w:color w:val="000000" w:themeColor="text1"/>
        </w:rPr>
        <w:t xml:space="preserve">the </w:t>
      </w:r>
      <w:r>
        <w:rPr>
          <w:color w:val="000000" w:themeColor="text1"/>
        </w:rPr>
        <w:t>(</w:t>
      </w:r>
      <w:r w:rsidRPr="00DE6EBC">
        <w:rPr>
          <w:color w:val="000000" w:themeColor="text1"/>
        </w:rPr>
        <w:t>unexplained</w:t>
      </w:r>
      <w:r>
        <w:rPr>
          <w:color w:val="000000" w:themeColor="text1"/>
        </w:rPr>
        <w:t>) coefficient</w:t>
      </w:r>
      <w:r w:rsidRPr="00DE6EBC">
        <w:rPr>
          <w:color w:val="000000" w:themeColor="text1"/>
        </w:rPr>
        <w:t xml:space="preserve"> component.</w:t>
      </w:r>
      <w:r>
        <w:rPr>
          <w:rStyle w:val="EndnoteReference"/>
          <w:color w:val="000000" w:themeColor="text1"/>
        </w:rPr>
        <w:endnoteReference w:id="19"/>
      </w:r>
    </w:p>
    <w:p w:rsidR="008B019B" w:rsidP="008B019B" w:rsidRDefault="008B019B">
      <w:pPr>
        <w:spacing w:after="0" w:line="360" w:lineRule="auto"/>
        <w:jc w:val="both"/>
      </w:pPr>
    </w:p>
    <w:p w:rsidR="008B019B" w:rsidP="008B019B" w:rsidRDefault="008B019B">
      <w:pPr>
        <w:spacing w:after="0" w:line="360" w:lineRule="auto"/>
        <w:jc w:val="both"/>
      </w:pPr>
      <w:r>
        <w:t xml:space="preserve">Panel (a) illustrates the coefficient effect for move-returners vis-a-vis non-movers. Interestingly, the return is negative and significant across the entire distribution, despite the upward trajectory over the second half of the earnings distribution. Even at the ninth decile (0.9 quantile), the premium is still a statistically significant </w:t>
      </w:r>
      <w:r w:rsidRPr="00C14183">
        <w:t>-0.05</w:t>
      </w:r>
      <w:r w:rsidRPr="00C14183">
        <w:rPr>
          <w:color w:val="FF0000"/>
        </w:rPr>
        <w:t xml:space="preserve"> </w:t>
      </w:r>
      <w:r>
        <w:t xml:space="preserve">log points. Thus, rather than mobility conferring any sort of earnings advantage those who initially move to university but subsequently return to their home domicile fare less well than the baseline non-mover category. The implication here, as we will see in the following discussion, is that job search constraint is the crucial factor in influencing graduate earnings. </w:t>
      </w:r>
    </w:p>
    <w:p w:rsidR="008B019B" w:rsidRDefault="008B019B">
      <w:pPr>
        <w:rPr>
          <w:b/>
        </w:rPr>
      </w:pPr>
      <w:r>
        <w:rPr>
          <w:b/>
        </w:rPr>
        <w:br w:type="page"/>
      </w:r>
    </w:p>
    <w:p w:rsidR="00D04362" w:rsidP="00D04362" w:rsidRDefault="00D04362">
      <w:pPr>
        <w:spacing w:after="0" w:line="240" w:lineRule="auto"/>
        <w:jc w:val="center"/>
        <w:outlineLvl w:val="0"/>
        <w:rPr>
          <w:b/>
        </w:rPr>
      </w:pPr>
      <w:r>
        <w:rPr>
          <w:b/>
        </w:rPr>
        <w:lastRenderedPageBreak/>
        <w:t>Figure 1</w:t>
      </w:r>
    </w:p>
    <w:p w:rsidR="00D04362" w:rsidP="00D04362" w:rsidRDefault="00D04362">
      <w:pPr>
        <w:spacing w:after="0" w:line="240" w:lineRule="auto"/>
        <w:jc w:val="center"/>
        <w:rPr>
          <w:b/>
        </w:rPr>
      </w:pPr>
      <w:r>
        <w:rPr>
          <w:b/>
        </w:rPr>
        <w:t>Earnings Premiums and 95% Confidence Intervals Relative to Non-Movers</w:t>
      </w:r>
    </w:p>
    <w:p w:rsidR="00D04362" w:rsidP="00D04362" w:rsidRDefault="00D04362">
      <w:pPr>
        <w:spacing w:after="0" w:line="240" w:lineRule="auto"/>
        <w:jc w:val="center"/>
        <w:rPr>
          <w:b/>
        </w:rPr>
      </w:pPr>
      <w:r>
        <w:rPr>
          <w:b/>
        </w:rPr>
        <w:t>by Mobility History, Quantile and Movement Threshold</w:t>
      </w:r>
    </w:p>
    <w:p w:rsidR="00D04362" w:rsidP="00D04362" w:rsidRDefault="00D04362">
      <w:pPr>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5"/>
        <w:gridCol w:w="742"/>
        <w:gridCol w:w="4108"/>
        <w:gridCol w:w="3717"/>
      </w:tblGrid>
      <w:tr w:rsidR="00D04362" w:rsidTr="000A149C">
        <w:tc>
          <w:tcPr>
            <w:tcW w:w="1417" w:type="dxa"/>
            <w:gridSpan w:val="2"/>
            <w:vMerge w:val="restart"/>
            <w:hideMark/>
          </w:tcPr>
          <w:p w:rsidR="00D04362" w:rsidP="000A149C" w:rsidRDefault="00D04362">
            <w:pPr>
              <w:rPr>
                <w:b/>
              </w:rPr>
            </w:pPr>
            <w:r>
              <w:rPr>
                <w:b/>
              </w:rPr>
              <w:t>25km</w:t>
            </w:r>
          </w:p>
        </w:tc>
        <w:tc>
          <w:tcPr>
            <w:tcW w:w="4108" w:type="dxa"/>
            <w:hideMark/>
          </w:tcPr>
          <w:p w:rsidR="00D04362" w:rsidP="000A149C" w:rsidRDefault="00D04362">
            <w:r>
              <w:t>(a) Move-Returners</w:t>
            </w:r>
          </w:p>
          <w:p w:rsidR="00D04362" w:rsidP="000A149C" w:rsidRDefault="00D04362">
            <w:r>
              <w:rPr>
                <w:noProof/>
              </w:rPr>
              <w:drawing>
                <wp:inline distT="0" distB="0" distL="0" distR="0" wp14:anchorId="1F0CF6BE" wp14:editId="4F628F72">
                  <wp:extent cx="1717200" cy="114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7200" cy="1144800"/>
                          </a:xfrm>
                          <a:prstGeom prst="rect">
                            <a:avLst/>
                          </a:prstGeom>
                          <a:noFill/>
                        </pic:spPr>
                      </pic:pic>
                    </a:graphicData>
                  </a:graphic>
                </wp:inline>
              </w:drawing>
            </w:r>
          </w:p>
        </w:tc>
        <w:tc>
          <w:tcPr>
            <w:tcW w:w="3717" w:type="dxa"/>
            <w:hideMark/>
          </w:tcPr>
          <w:p w:rsidR="00D04362" w:rsidP="000A149C" w:rsidRDefault="00D04362">
            <w:r>
              <w:t>(b) Stay-Leavers</w:t>
            </w:r>
          </w:p>
          <w:p w:rsidR="00D04362" w:rsidP="000A149C" w:rsidRDefault="00D04362">
            <w:pPr>
              <w:rPr>
                <w:u w:val="single"/>
              </w:rPr>
            </w:pPr>
            <w:r>
              <w:rPr>
                <w:noProof/>
              </w:rPr>
              <mc:AlternateContent>
                <mc:Choice Requires="wps">
                  <w:drawing>
                    <wp:anchor distT="0" distB="0" distL="114300" distR="114300" simplePos="0" relativeHeight="251668480" behindDoc="0" locked="0" layoutInCell="1" allowOverlap="1" wp14:editId="2E1B1829" wp14:anchorId="1325D9A4">
                      <wp:simplePos x="0" y="0"/>
                      <wp:positionH relativeFrom="column">
                        <wp:posOffset>-50800</wp:posOffset>
                      </wp:positionH>
                      <wp:positionV relativeFrom="paragraph">
                        <wp:posOffset>1156970</wp:posOffset>
                      </wp:positionV>
                      <wp:extent cx="191452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1914525"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white [3212]" strokeweight="3pt" from="-4pt,91.1pt" to="146.75pt,91.1pt" w14:anchorId="42B14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"/>
                  </w:pict>
                </mc:Fallback>
              </mc:AlternateContent>
            </w:r>
            <w:r>
              <w:rPr>
                <w:noProof/>
              </w:rPr>
              <mc:AlternateContent>
                <mc:Choice Requires="wps">
                  <w:drawing>
                    <wp:anchor distT="0" distB="0" distL="114300" distR="114300" simplePos="0" relativeHeight="251667456" behindDoc="0" locked="0" layoutInCell="1" allowOverlap="1" wp14:editId="5AF8678D" wp14:anchorId="607A9D7B">
                      <wp:simplePos x="0" y="0"/>
                      <wp:positionH relativeFrom="column">
                        <wp:posOffset>-50800</wp:posOffset>
                      </wp:positionH>
                      <wp:positionV relativeFrom="paragraph">
                        <wp:posOffset>1147445</wp:posOffset>
                      </wp:positionV>
                      <wp:extent cx="1866900" cy="0"/>
                      <wp:effectExtent l="0" t="19050" r="0" b="19050"/>
                      <wp:wrapNone/>
                      <wp:docPr id="6" name="Straight Connector 6"/>
                      <wp:cNvGraphicFramePr/>
                      <a:graphic xmlns:a="http://schemas.openxmlformats.org/drawingml/2006/main">
                        <a:graphicData uri="http://schemas.microsoft.com/office/word/2010/wordprocessingShape">
                          <wps:wsp>
                            <wps:cNvCnPr/>
                            <wps:spPr>
                              <a:xfrm>
                                <a:off x="0" y="0"/>
                                <a:ext cx="18669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3212]" strokeweight="3pt" from="-4pt,90.35pt" to="143pt,90.35pt" w14:anchorId="0ABFA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"/>
                  </w:pict>
                </mc:Fallback>
              </mc:AlternateContent>
            </w:r>
            <w:r w:rsidRPr="00C25766">
              <w:rPr>
                <w:noProof/>
                <w:u w:val="single"/>
              </w:rPr>
              <w:drawing>
                <wp:inline distT="0" distB="0" distL="0" distR="0" wp14:anchorId="06A96D55" wp14:editId="2CD418F1">
                  <wp:extent cx="1720800" cy="114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0800" cy="1144800"/>
                          </a:xfrm>
                          <a:prstGeom prst="rect">
                            <a:avLst/>
                          </a:prstGeom>
                          <a:noFill/>
                        </pic:spPr>
                      </pic:pic>
                    </a:graphicData>
                  </a:graphic>
                </wp:inline>
              </w:drawing>
            </w:r>
          </w:p>
        </w:tc>
      </w:tr>
      <w:tr w:rsidR="00D04362" w:rsidTr="000A149C">
        <w:tc>
          <w:tcPr>
            <w:tcW w:w="1417" w:type="dxa"/>
            <w:gridSpan w:val="2"/>
            <w:vMerge/>
            <w:vAlign w:val="center"/>
            <w:hideMark/>
          </w:tcPr>
          <w:p w:rsidR="00D04362" w:rsidP="000A149C" w:rsidRDefault="00D04362">
            <w:pPr>
              <w:rPr>
                <w:b/>
              </w:rPr>
            </w:pPr>
          </w:p>
        </w:tc>
        <w:tc>
          <w:tcPr>
            <w:tcW w:w="4108" w:type="dxa"/>
            <w:hideMark/>
          </w:tcPr>
          <w:p w:rsidR="00D04362" w:rsidP="000A149C" w:rsidRDefault="00D04362">
            <w:pPr>
              <w:rPr>
                <w:rFonts w:cs="Times New Roman"/>
              </w:rPr>
            </w:pPr>
          </w:p>
        </w:tc>
        <w:tc>
          <w:tcPr>
            <w:tcW w:w="3717" w:type="dxa"/>
            <w:hideMark/>
          </w:tcPr>
          <w:p w:rsidR="00D04362" w:rsidP="000A149C" w:rsidRDefault="00D04362">
            <w:pPr>
              <w:rPr>
                <w:rFonts w:cs="Times New Roman"/>
              </w:rPr>
            </w:pPr>
          </w:p>
        </w:tc>
      </w:tr>
      <w:tr w:rsidR="00D04362" w:rsidTr="000A149C">
        <w:tc>
          <w:tcPr>
            <w:tcW w:w="1417" w:type="dxa"/>
            <w:gridSpan w:val="2"/>
            <w:vMerge/>
            <w:vAlign w:val="center"/>
            <w:hideMark/>
          </w:tcPr>
          <w:p w:rsidR="00D04362" w:rsidP="000A149C" w:rsidRDefault="00D04362">
            <w:pPr>
              <w:rPr>
                <w:b/>
              </w:rPr>
            </w:pPr>
          </w:p>
        </w:tc>
        <w:tc>
          <w:tcPr>
            <w:tcW w:w="4108" w:type="dxa"/>
            <w:hideMark/>
          </w:tcPr>
          <w:p w:rsidR="00D04362" w:rsidP="000A149C" w:rsidRDefault="00D04362">
            <w:r>
              <w:t>(c) Leave-Stayers</w:t>
            </w:r>
          </w:p>
          <w:p w:rsidR="00D04362" w:rsidP="000A149C" w:rsidRDefault="00D04362">
            <w:r>
              <w:rPr>
                <w:noProof/>
              </w:rPr>
              <w:drawing>
                <wp:inline distT="0" distB="0" distL="0" distR="0" wp14:anchorId="5FCD9ED4" wp14:editId="6E531D94">
                  <wp:extent cx="1720800" cy="114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00" cy="1144800"/>
                          </a:xfrm>
                          <a:prstGeom prst="rect">
                            <a:avLst/>
                          </a:prstGeom>
                          <a:noFill/>
                        </pic:spPr>
                      </pic:pic>
                    </a:graphicData>
                  </a:graphic>
                </wp:inline>
              </w:drawing>
            </w:r>
          </w:p>
        </w:tc>
        <w:tc>
          <w:tcPr>
            <w:tcW w:w="3717" w:type="dxa"/>
            <w:hideMark/>
          </w:tcPr>
          <w:p w:rsidR="00D04362" w:rsidP="000A149C" w:rsidRDefault="00D04362">
            <w:r>
              <w:t>(d) Non-Returning Double-Movers</w:t>
            </w:r>
          </w:p>
          <w:p w:rsidR="00D04362" w:rsidP="000A149C" w:rsidRDefault="00D04362">
            <w:r>
              <w:rPr>
                <w:noProof/>
              </w:rPr>
              <w:drawing>
                <wp:inline distT="0" distB="0" distL="0" distR="0" wp14:anchorId="05A2AC8F" wp14:editId="4CC28BBE">
                  <wp:extent cx="1720800" cy="115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0800" cy="1152000"/>
                          </a:xfrm>
                          <a:prstGeom prst="rect">
                            <a:avLst/>
                          </a:prstGeom>
                          <a:noFill/>
                        </pic:spPr>
                      </pic:pic>
                    </a:graphicData>
                  </a:graphic>
                </wp:inline>
              </w:drawing>
            </w:r>
          </w:p>
        </w:tc>
      </w:tr>
      <w:tr w:rsidR="00D04362" w:rsidTr="000A149C">
        <w:tc>
          <w:tcPr>
            <w:tcW w:w="1417" w:type="dxa"/>
            <w:gridSpan w:val="2"/>
            <w:vMerge w:val="restart"/>
            <w:hideMark/>
          </w:tcPr>
          <w:p w:rsidR="00D04362" w:rsidP="000A149C" w:rsidRDefault="00D04362">
            <w:pPr>
              <w:rPr>
                <w:b/>
              </w:rPr>
            </w:pPr>
            <w:r>
              <w:rPr>
                <w:b/>
              </w:rPr>
              <w:t>50km</w:t>
            </w:r>
          </w:p>
        </w:tc>
        <w:tc>
          <w:tcPr>
            <w:tcW w:w="4108" w:type="dxa"/>
            <w:hideMark/>
          </w:tcPr>
          <w:p w:rsidR="00D04362" w:rsidP="000A149C" w:rsidRDefault="00D04362">
            <w:r>
              <w:br w:type="page"/>
              <w:t>(a) Move-Returners</w:t>
            </w:r>
          </w:p>
          <w:p w:rsidR="00D04362" w:rsidP="000A149C" w:rsidRDefault="00D04362">
            <w:r>
              <w:rPr>
                <w:noProof/>
              </w:rPr>
              <w:drawing>
                <wp:inline distT="0" distB="0" distL="0" distR="0" wp14:anchorId="5E77CECA" wp14:editId="35450243">
                  <wp:extent cx="1717200" cy="114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7200" cy="1144800"/>
                          </a:xfrm>
                          <a:prstGeom prst="rect">
                            <a:avLst/>
                          </a:prstGeom>
                          <a:noFill/>
                        </pic:spPr>
                      </pic:pic>
                    </a:graphicData>
                  </a:graphic>
                </wp:inline>
              </w:drawing>
            </w:r>
          </w:p>
        </w:tc>
        <w:tc>
          <w:tcPr>
            <w:tcW w:w="3717" w:type="dxa"/>
            <w:hideMark/>
          </w:tcPr>
          <w:p w:rsidR="00D04362" w:rsidP="000A149C" w:rsidRDefault="00D04362">
            <w:r>
              <w:t>(b) Stay-Leavers</w:t>
            </w:r>
          </w:p>
          <w:p w:rsidR="00D04362" w:rsidP="000A149C" w:rsidRDefault="00D04362">
            <w:r>
              <w:rPr>
                <w:noProof/>
              </w:rPr>
              <w:drawing>
                <wp:inline distT="0" distB="0" distL="0" distR="0" wp14:anchorId="337486E1" wp14:editId="1867249B">
                  <wp:extent cx="1720800" cy="1144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0800" cy="1144800"/>
                          </a:xfrm>
                          <a:prstGeom prst="rect">
                            <a:avLst/>
                          </a:prstGeom>
                          <a:noFill/>
                        </pic:spPr>
                      </pic:pic>
                    </a:graphicData>
                  </a:graphic>
                </wp:inline>
              </w:drawing>
            </w:r>
          </w:p>
        </w:tc>
      </w:tr>
      <w:tr w:rsidR="00D04362" w:rsidTr="000A149C">
        <w:tc>
          <w:tcPr>
            <w:tcW w:w="1417" w:type="dxa"/>
            <w:gridSpan w:val="2"/>
            <w:vMerge/>
            <w:vAlign w:val="center"/>
            <w:hideMark/>
          </w:tcPr>
          <w:p w:rsidR="00D04362" w:rsidP="000A149C" w:rsidRDefault="00D04362">
            <w:pPr>
              <w:rPr>
                <w:b/>
              </w:rPr>
            </w:pPr>
          </w:p>
        </w:tc>
        <w:tc>
          <w:tcPr>
            <w:tcW w:w="4108" w:type="dxa"/>
            <w:hideMark/>
          </w:tcPr>
          <w:p w:rsidR="00D04362" w:rsidP="000A149C" w:rsidRDefault="00D04362">
            <w:pPr>
              <w:rPr>
                <w:rFonts w:cs="Times New Roman"/>
              </w:rPr>
            </w:pPr>
          </w:p>
        </w:tc>
        <w:tc>
          <w:tcPr>
            <w:tcW w:w="3717" w:type="dxa"/>
            <w:hideMark/>
          </w:tcPr>
          <w:p w:rsidR="00D04362" w:rsidP="000A149C" w:rsidRDefault="00D04362">
            <w:pPr>
              <w:rPr>
                <w:rFonts w:cs="Times New Roman"/>
              </w:rPr>
            </w:pPr>
          </w:p>
        </w:tc>
      </w:tr>
      <w:tr w:rsidR="00D04362" w:rsidTr="000A149C">
        <w:tc>
          <w:tcPr>
            <w:tcW w:w="1417" w:type="dxa"/>
            <w:gridSpan w:val="2"/>
            <w:vMerge/>
            <w:vAlign w:val="center"/>
            <w:hideMark/>
          </w:tcPr>
          <w:p w:rsidR="00D04362" w:rsidP="000A149C" w:rsidRDefault="00D04362">
            <w:pPr>
              <w:rPr>
                <w:b/>
              </w:rPr>
            </w:pPr>
          </w:p>
        </w:tc>
        <w:tc>
          <w:tcPr>
            <w:tcW w:w="4108" w:type="dxa"/>
            <w:hideMark/>
          </w:tcPr>
          <w:p w:rsidR="00D04362" w:rsidP="000A149C" w:rsidRDefault="00D04362">
            <w:r>
              <w:t>(c) Leave-Stayers</w:t>
            </w:r>
          </w:p>
          <w:p w:rsidR="00D04362" w:rsidP="000A149C" w:rsidRDefault="00D04362">
            <w:r>
              <w:rPr>
                <w:noProof/>
              </w:rPr>
              <w:drawing>
                <wp:inline distT="0" distB="0" distL="0" distR="0" wp14:anchorId="47F410FF" wp14:editId="793CD36F">
                  <wp:extent cx="1720800" cy="1144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0800" cy="1144800"/>
                          </a:xfrm>
                          <a:prstGeom prst="rect">
                            <a:avLst/>
                          </a:prstGeom>
                          <a:noFill/>
                        </pic:spPr>
                      </pic:pic>
                    </a:graphicData>
                  </a:graphic>
                </wp:inline>
              </w:drawing>
            </w:r>
          </w:p>
        </w:tc>
        <w:tc>
          <w:tcPr>
            <w:tcW w:w="3717" w:type="dxa"/>
            <w:hideMark/>
          </w:tcPr>
          <w:p w:rsidR="00D04362" w:rsidP="000A149C" w:rsidRDefault="00D04362">
            <w:r>
              <w:t>(d) Non-Returning Double-Movers</w:t>
            </w:r>
          </w:p>
          <w:p w:rsidR="00D04362" w:rsidP="000A149C" w:rsidRDefault="00D04362">
            <w:r>
              <w:rPr>
                <w:noProof/>
              </w:rPr>
              <w:drawing>
                <wp:inline distT="0" distB="0" distL="0" distR="0" wp14:anchorId="2D88507F" wp14:editId="6184E5B0">
                  <wp:extent cx="1720800" cy="1152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0800" cy="1152000"/>
                          </a:xfrm>
                          <a:prstGeom prst="rect">
                            <a:avLst/>
                          </a:prstGeom>
                          <a:noFill/>
                        </pic:spPr>
                      </pic:pic>
                    </a:graphicData>
                  </a:graphic>
                </wp:inline>
              </w:drawing>
            </w:r>
          </w:p>
        </w:tc>
      </w:tr>
      <w:tr w:rsidR="00D04362" w:rsidTr="000A149C">
        <w:tc>
          <w:tcPr>
            <w:tcW w:w="1417" w:type="dxa"/>
            <w:gridSpan w:val="2"/>
            <w:hideMark/>
          </w:tcPr>
          <w:p w:rsidR="00D04362" w:rsidP="000A149C" w:rsidRDefault="00D04362">
            <w:pPr>
              <w:rPr>
                <w:b/>
              </w:rPr>
            </w:pPr>
            <w:r>
              <w:rPr>
                <w:b/>
              </w:rPr>
              <w:t>100km</w:t>
            </w:r>
          </w:p>
        </w:tc>
        <w:tc>
          <w:tcPr>
            <w:tcW w:w="4108" w:type="dxa"/>
            <w:hideMark/>
          </w:tcPr>
          <w:p w:rsidR="00D04362" w:rsidP="000A149C" w:rsidRDefault="00D04362">
            <w:r>
              <w:t>(a) Move-Returners</w:t>
            </w:r>
          </w:p>
          <w:p w:rsidR="00D04362" w:rsidP="000A149C" w:rsidRDefault="00D04362">
            <w:r>
              <w:rPr>
                <w:noProof/>
              </w:rPr>
              <w:t xml:space="preserve"> </w:t>
            </w:r>
            <w:r>
              <w:rPr>
                <w:noProof/>
              </w:rPr>
              <w:drawing>
                <wp:inline distT="0" distB="0" distL="0" distR="0" wp14:anchorId="426C6AB4" wp14:editId="54464618">
                  <wp:extent cx="1717200" cy="1144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200" cy="1144800"/>
                          </a:xfrm>
                          <a:prstGeom prst="rect">
                            <a:avLst/>
                          </a:prstGeom>
                          <a:noFill/>
                        </pic:spPr>
                      </pic:pic>
                    </a:graphicData>
                  </a:graphic>
                </wp:inline>
              </w:drawing>
            </w:r>
          </w:p>
        </w:tc>
        <w:tc>
          <w:tcPr>
            <w:tcW w:w="3717" w:type="dxa"/>
            <w:hideMark/>
          </w:tcPr>
          <w:p w:rsidR="00D04362" w:rsidP="000A149C" w:rsidRDefault="00D04362">
            <w:r>
              <w:t>(b) Stay-Leavers</w:t>
            </w:r>
          </w:p>
          <w:p w:rsidR="00D04362" w:rsidP="000A149C" w:rsidRDefault="00D04362">
            <w:r>
              <w:rPr>
                <w:noProof/>
              </w:rPr>
              <w:drawing>
                <wp:inline distT="0" distB="0" distL="0" distR="0" wp14:anchorId="26FBE43B" wp14:editId="286F7949">
                  <wp:extent cx="1720800" cy="1144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0800" cy="1144800"/>
                          </a:xfrm>
                          <a:prstGeom prst="rect">
                            <a:avLst/>
                          </a:prstGeom>
                          <a:noFill/>
                        </pic:spPr>
                      </pic:pic>
                    </a:graphicData>
                  </a:graphic>
                </wp:inline>
              </w:drawing>
            </w:r>
          </w:p>
        </w:tc>
      </w:tr>
      <w:tr w:rsidR="00D04362" w:rsidTr="000A149C">
        <w:tc>
          <w:tcPr>
            <w:tcW w:w="5525" w:type="dxa"/>
            <w:gridSpan w:val="3"/>
            <w:hideMark/>
          </w:tcPr>
          <w:p w:rsidR="00D04362" w:rsidP="000A149C" w:rsidRDefault="00D04362">
            <w:pPr>
              <w:rPr>
                <w:rFonts w:cs="Times New Roman"/>
              </w:rPr>
            </w:pPr>
          </w:p>
        </w:tc>
        <w:tc>
          <w:tcPr>
            <w:tcW w:w="3717" w:type="dxa"/>
            <w:hideMark/>
          </w:tcPr>
          <w:p w:rsidR="00D04362" w:rsidP="000A149C" w:rsidRDefault="00D04362">
            <w:pPr>
              <w:rPr>
                <w:rFonts w:cs="Times New Roman"/>
              </w:rPr>
            </w:pPr>
          </w:p>
        </w:tc>
      </w:tr>
      <w:tr w:rsidR="00D04362" w:rsidTr="000A149C">
        <w:tc>
          <w:tcPr>
            <w:tcW w:w="1417" w:type="dxa"/>
            <w:gridSpan w:val="2"/>
            <w:hideMark/>
          </w:tcPr>
          <w:p w:rsidR="00D04362" w:rsidP="000A149C" w:rsidRDefault="00D04362">
            <w:pPr>
              <w:rPr>
                <w:rFonts w:cs="Times New Roman"/>
              </w:rPr>
            </w:pPr>
          </w:p>
        </w:tc>
        <w:tc>
          <w:tcPr>
            <w:tcW w:w="4108" w:type="dxa"/>
            <w:hideMark/>
          </w:tcPr>
          <w:p w:rsidR="00D04362" w:rsidP="000A149C" w:rsidRDefault="00D04362">
            <w:pPr>
              <w:rPr>
                <w:noProof/>
              </w:rPr>
            </w:pPr>
            <w:r>
              <w:t>(c) Leave-Stayers</w:t>
            </w:r>
          </w:p>
          <w:p w:rsidR="00D04362" w:rsidP="000A149C" w:rsidRDefault="00D04362">
            <w:r>
              <w:rPr>
                <w:noProof/>
              </w:rPr>
              <w:drawing>
                <wp:inline distT="0" distB="0" distL="0" distR="0" wp14:anchorId="578CB4CB" wp14:editId="4C00B054">
                  <wp:extent cx="1720800" cy="114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0800" cy="1144800"/>
                          </a:xfrm>
                          <a:prstGeom prst="rect">
                            <a:avLst/>
                          </a:prstGeom>
                          <a:noFill/>
                        </pic:spPr>
                      </pic:pic>
                    </a:graphicData>
                  </a:graphic>
                </wp:inline>
              </w:drawing>
            </w:r>
          </w:p>
        </w:tc>
        <w:tc>
          <w:tcPr>
            <w:tcW w:w="3717" w:type="dxa"/>
            <w:hideMark/>
          </w:tcPr>
          <w:p w:rsidR="00D04362" w:rsidP="000A149C" w:rsidRDefault="00D04362">
            <w:r>
              <w:t>(d) Non-Returning Double-Movers</w:t>
            </w:r>
          </w:p>
          <w:p w:rsidR="00D04362" w:rsidP="000A149C" w:rsidRDefault="00D04362">
            <w:r>
              <w:rPr>
                <w:noProof/>
              </w:rPr>
              <w:drawing>
                <wp:inline distT="0" distB="0" distL="0" distR="0" wp14:anchorId="51796586" wp14:editId="3938ABCF">
                  <wp:extent cx="1720800" cy="1152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0800" cy="1152000"/>
                          </a:xfrm>
                          <a:prstGeom prst="rect">
                            <a:avLst/>
                          </a:prstGeom>
                          <a:noFill/>
                        </pic:spPr>
                      </pic:pic>
                    </a:graphicData>
                  </a:graphic>
                </wp:inline>
              </w:drawing>
            </w:r>
          </w:p>
        </w:tc>
      </w:tr>
      <w:tr w:rsidR="00D04362" w:rsidTr="000A149C">
        <w:tc>
          <w:tcPr>
            <w:tcW w:w="5525" w:type="dxa"/>
            <w:gridSpan w:val="3"/>
            <w:hideMark/>
          </w:tcPr>
          <w:p w:rsidR="00D04362" w:rsidP="000A149C" w:rsidRDefault="00D04362">
            <w:pPr>
              <w:rPr>
                <w:rFonts w:cs="Times New Roman"/>
              </w:rPr>
            </w:pPr>
          </w:p>
        </w:tc>
        <w:tc>
          <w:tcPr>
            <w:tcW w:w="3717" w:type="dxa"/>
            <w:hideMark/>
          </w:tcPr>
          <w:p w:rsidR="00D04362" w:rsidP="000A149C" w:rsidRDefault="00D04362">
            <w:pPr>
              <w:rPr>
                <w:rFonts w:cs="Times New Roman"/>
              </w:rPr>
            </w:pPr>
          </w:p>
        </w:tc>
      </w:tr>
      <w:tr w:rsidR="00D04362" w:rsidTr="000A149C">
        <w:tc>
          <w:tcPr>
            <w:tcW w:w="675" w:type="dxa"/>
            <w:hideMark/>
          </w:tcPr>
          <w:p w:rsidR="00D04362" w:rsidP="000A149C" w:rsidRDefault="00D04362">
            <w:pPr>
              <w:rPr>
                <w:noProof/>
              </w:rPr>
            </w:pPr>
            <w:r>
              <w:rPr>
                <w:i/>
                <w:noProof/>
                <w:sz w:val="16"/>
                <w:szCs w:val="16"/>
              </w:rPr>
              <w:t>Notes</w:t>
            </w:r>
            <w:r>
              <w:rPr>
                <w:noProof/>
                <w:sz w:val="16"/>
                <w:szCs w:val="16"/>
              </w:rPr>
              <w:t>:</w:t>
            </w:r>
          </w:p>
        </w:tc>
        <w:tc>
          <w:tcPr>
            <w:tcW w:w="8567" w:type="dxa"/>
            <w:gridSpan w:val="3"/>
          </w:tcPr>
          <w:p w:rsidR="00D04362" w:rsidP="000A149C" w:rsidRDefault="00D04362">
            <w:pPr>
              <w:jc w:val="both"/>
              <w:rPr>
                <w:noProof/>
              </w:rPr>
            </w:pPr>
            <w:r>
              <w:rPr>
                <w:noProof/>
                <w:sz w:val="16"/>
                <w:szCs w:val="16"/>
              </w:rPr>
              <w:t>― point estimates; - - - 95% confidence interval.</w:t>
            </w:r>
          </w:p>
        </w:tc>
      </w:tr>
    </w:tbl>
    <w:p w:rsidR="0047190A" w:rsidP="0047190A" w:rsidRDefault="0047190A">
      <w:pPr>
        <w:spacing w:after="0" w:line="360" w:lineRule="auto"/>
        <w:jc w:val="both"/>
      </w:pPr>
      <w:r>
        <w:lastRenderedPageBreak/>
        <w:t>Panel (b) represents the coefficient effect of the stay-leaver group. Premiums are significantly positive over all deciles and increase in magnitude over the earnings distribution (albeit with a slight dip after the median). Starting at 0.048 log points at the first decile (0.1 quantile), the returns reach a maximum of 0.094 log points at the median and remain substantial at 0.082 for the ninth decile (0.9 quantile). Unlike the results described previously, there is a substantial reward to mobility  defined as a movement away from the domicile area to take up employment.</w:t>
      </w:r>
    </w:p>
    <w:p w:rsidR="0047190A" w:rsidP="009274A3" w:rsidRDefault="0047190A">
      <w:pPr>
        <w:spacing w:after="0" w:line="360" w:lineRule="auto"/>
        <w:jc w:val="both"/>
      </w:pPr>
    </w:p>
    <w:p w:rsidR="00C57DAE" w:rsidP="009274A3" w:rsidRDefault="009274A3">
      <w:pPr>
        <w:spacing w:after="0" w:line="360" w:lineRule="auto"/>
        <w:jc w:val="both"/>
      </w:pPr>
      <w:r>
        <w:t xml:space="preserve">Panel </w:t>
      </w:r>
      <w:r w:rsidR="00200345">
        <w:t>(</w:t>
      </w:r>
      <w:r>
        <w:t>c</w:t>
      </w:r>
      <w:r w:rsidR="00200345">
        <w:t>)</w:t>
      </w:r>
      <w:r>
        <w:t xml:space="preserve"> compares those who</w:t>
      </w:r>
      <w:r w:rsidR="005E7C27">
        <w:t xml:space="preserve"> l</w:t>
      </w:r>
      <w:r>
        <w:t xml:space="preserve">eave their domicile to go to </w:t>
      </w:r>
      <w:r w:rsidR="00F82E6F">
        <w:t>u</w:t>
      </w:r>
      <w:r>
        <w:t>niversity and then gain employment within the same location</w:t>
      </w:r>
      <w:r w:rsidR="009733FB">
        <w:t>,</w:t>
      </w:r>
      <w:r>
        <w:t xml:space="preserve"> i.e. </w:t>
      </w:r>
      <w:r w:rsidR="005E7C27">
        <w:t>leave</w:t>
      </w:r>
      <w:r>
        <w:t>-stayers</w:t>
      </w:r>
      <w:r w:rsidR="009733FB">
        <w:t>,</w:t>
      </w:r>
      <w:r>
        <w:t xml:space="preserve"> vis</w:t>
      </w:r>
      <w:r w:rsidR="005E7C27">
        <w:t>-</w:t>
      </w:r>
      <w:r>
        <w:t>a</w:t>
      </w:r>
      <w:r w:rsidR="005E7C27">
        <w:t>-</w:t>
      </w:r>
      <w:r>
        <w:t xml:space="preserve">vis </w:t>
      </w:r>
      <w:r w:rsidR="001C2AED">
        <w:t xml:space="preserve">the baseline </w:t>
      </w:r>
      <w:r w:rsidR="008777A7">
        <w:t>non-movers</w:t>
      </w:r>
      <w:r>
        <w:t xml:space="preserve">. The pattern of the coefficient effect is flat and </w:t>
      </w:r>
      <w:r w:rsidR="005E7C27">
        <w:t xml:space="preserve">invariably </w:t>
      </w:r>
      <w:r>
        <w:t xml:space="preserve">insignificantly different from </w:t>
      </w:r>
      <w:r w:rsidRPr="00C14183" w:rsidR="008777A7">
        <w:t>non-movers</w:t>
      </w:r>
      <w:r w:rsidRPr="00C14183" w:rsidR="008777A7">
        <w:rPr>
          <w:color w:val="FF0000"/>
        </w:rPr>
        <w:t xml:space="preserve"> </w:t>
      </w:r>
      <w:r w:rsidR="005E7C27">
        <w:t xml:space="preserve">over </w:t>
      </w:r>
      <w:r>
        <w:t xml:space="preserve">the first half of the distribution. </w:t>
      </w:r>
      <w:r w:rsidR="005E7C27">
        <w:t>In contrast, over t</w:t>
      </w:r>
      <w:r>
        <w:t xml:space="preserve">he second half </w:t>
      </w:r>
      <w:r w:rsidR="00E65F66">
        <w:t xml:space="preserve">the trend </w:t>
      </w:r>
      <w:r>
        <w:t>is upward</w:t>
      </w:r>
      <w:r w:rsidR="005E7C27">
        <w:t>, rising from a significant 0.033 at the sixth decile to a peak of 0.167 log points at the ninth.</w:t>
      </w:r>
      <w:r w:rsidR="00597938">
        <w:t xml:space="preserve"> Once again, mobility is associated with superior earnings outcomes, but for the leave-stayer group this is restricted only to those in the top half of the earnings distribution. Indeed, the rewards </w:t>
      </w:r>
      <w:r w:rsidR="00F82E6F">
        <w:t xml:space="preserve">received </w:t>
      </w:r>
      <w:r w:rsidR="00597938">
        <w:t>here are the highest across all of the defined movement categories.</w:t>
      </w:r>
    </w:p>
    <w:p w:rsidR="008B019B" w:rsidP="009274A3" w:rsidRDefault="008B019B">
      <w:pPr>
        <w:spacing w:after="0" w:line="360" w:lineRule="auto"/>
        <w:jc w:val="both"/>
      </w:pPr>
    </w:p>
    <w:p w:rsidR="009274A3" w:rsidP="009274A3" w:rsidRDefault="009274A3">
      <w:pPr>
        <w:spacing w:after="0" w:line="360" w:lineRule="auto"/>
        <w:jc w:val="both"/>
      </w:pPr>
      <w:r>
        <w:t xml:space="preserve">Finally, panel </w:t>
      </w:r>
      <w:r w:rsidR="00597938">
        <w:t>(</w:t>
      </w:r>
      <w:r>
        <w:t>d</w:t>
      </w:r>
      <w:r w:rsidR="00597938">
        <w:t>)</w:t>
      </w:r>
      <w:r>
        <w:t xml:space="preserve"> </w:t>
      </w:r>
      <w:r w:rsidR="009733FB">
        <w:t>examines</w:t>
      </w:r>
      <w:r w:rsidR="00574073">
        <w:t xml:space="preserve"> non-returning </w:t>
      </w:r>
      <w:r>
        <w:t xml:space="preserve">double movers </w:t>
      </w:r>
      <w:r w:rsidR="00EA5517">
        <w:t>and this is</w:t>
      </w:r>
      <w:r w:rsidR="00574073">
        <w:t xml:space="preserve"> a</w:t>
      </w:r>
      <w:r w:rsidR="0047190A">
        <w:t>n evidently</w:t>
      </w:r>
      <w:r w:rsidR="00574073">
        <w:t xml:space="preserve"> different group to the move-returners discussed above. The crucial  distinction for this  group is that they do not return to the home domicile after graduation and this markedly affects the conclusion</w:t>
      </w:r>
      <w:r w:rsidR="00F82E6F">
        <w:t>s</w:t>
      </w:r>
      <w:r w:rsidR="00574073">
        <w:t xml:space="preserve">. </w:t>
      </w:r>
      <w:r w:rsidR="00837983">
        <w:t xml:space="preserve">While the pattern over lower earnings levels </w:t>
      </w:r>
      <w:r w:rsidR="00AE6160">
        <w:t xml:space="preserve">reflects </w:t>
      </w:r>
      <w:r w:rsidR="00837983">
        <w:t>insignificant premiums</w:t>
      </w:r>
      <w:r w:rsidR="00F15401">
        <w:t xml:space="preserve"> to mobility</w:t>
      </w:r>
      <w:r w:rsidR="00837983">
        <w:t xml:space="preserve">, at all points from the median onwards </w:t>
      </w:r>
      <w:r w:rsidR="00AE6160">
        <w:t xml:space="preserve">returns </w:t>
      </w:r>
      <w:r w:rsidR="00F15401">
        <w:t>a</w:t>
      </w:r>
      <w:r w:rsidR="00837983">
        <w:t xml:space="preserve">re significant </w:t>
      </w:r>
      <w:r w:rsidR="00F15401">
        <w:t xml:space="preserve">and </w:t>
      </w:r>
      <w:r w:rsidR="00837983">
        <w:t>positive</w:t>
      </w:r>
      <w:r w:rsidR="00F15401">
        <w:t>, rising from 0.025 log points at the median through to 0.038 log points at the ninth decile</w:t>
      </w:r>
      <w:r>
        <w:t>.</w:t>
      </w:r>
    </w:p>
    <w:p w:rsidR="009274A3" w:rsidP="009274A3" w:rsidRDefault="009274A3">
      <w:pPr>
        <w:spacing w:after="0" w:line="360" w:lineRule="auto"/>
        <w:jc w:val="both"/>
      </w:pPr>
    </w:p>
    <w:p w:rsidR="00123046" w:rsidP="009274A3" w:rsidRDefault="00FD1BD1">
      <w:pPr>
        <w:spacing w:after="0" w:line="360" w:lineRule="auto"/>
        <w:jc w:val="both"/>
      </w:pPr>
      <w:r>
        <w:t xml:space="preserve">Comparing </w:t>
      </w:r>
      <w:r w:rsidR="009274A3">
        <w:t xml:space="preserve">results across </w:t>
      </w:r>
      <w:r w:rsidR="008F4D89">
        <w:t>alternative</w:t>
      </w:r>
      <w:r w:rsidR="00415131">
        <w:t xml:space="preserve"> definitions of </w:t>
      </w:r>
      <w:r w:rsidR="009274A3">
        <w:t>mobility</w:t>
      </w:r>
      <w:r w:rsidR="008F4D89">
        <w:t>, the pattern</w:t>
      </w:r>
      <w:r w:rsidR="00F807CE">
        <w:t>s</w:t>
      </w:r>
      <w:r w:rsidR="008F4D89">
        <w:t xml:space="preserve"> at </w:t>
      </w:r>
      <w:r w:rsidR="00F807CE">
        <w:t>the</w:t>
      </w:r>
      <w:r w:rsidR="008F4D89">
        <w:t xml:space="preserve"> </w:t>
      </w:r>
      <w:r w:rsidR="00F55831">
        <w:t xml:space="preserve">defined </w:t>
      </w:r>
      <w:r w:rsidR="009274A3">
        <w:t>50</w:t>
      </w:r>
      <w:r w:rsidR="008F4D89">
        <w:t>km radius</w:t>
      </w:r>
      <w:r w:rsidR="00A52215">
        <w:t xml:space="preserve"> </w:t>
      </w:r>
      <w:r w:rsidR="00F82E6F">
        <w:t xml:space="preserve">are </w:t>
      </w:r>
      <w:r w:rsidR="00F807CE">
        <w:t>remarkably similar to those already identified. While there are some subtle differences, for example the negative premiums observed for move-returners at the 100km threshold across the entire earnings distribution are now only observed over the third to sixth decile at the 5</w:t>
      </w:r>
      <w:r w:rsidR="00A97941">
        <w:t>0</w:t>
      </w:r>
      <w:r w:rsidR="00F807CE">
        <w:t xml:space="preserve">km threshold, the underlying story of how mobility </w:t>
      </w:r>
      <w:r w:rsidR="00A97941">
        <w:t>affects</w:t>
      </w:r>
      <w:r w:rsidR="00F807CE">
        <w:t xml:space="preserve"> earnings is unchanged. However, when we move to the 25km threshold many of the observed premiums are now insignificant</w:t>
      </w:r>
      <w:r w:rsidR="00A97941">
        <w:t>.</w:t>
      </w:r>
      <w:r w:rsidR="00A97941">
        <w:rPr>
          <w:rStyle w:val="EndnoteReference"/>
        </w:rPr>
        <w:endnoteReference w:id="20"/>
      </w:r>
      <w:r w:rsidR="00A97941">
        <w:t xml:space="preserve"> </w:t>
      </w:r>
      <w:r w:rsidR="00123046">
        <w:t>In itself</w:t>
      </w:r>
      <w:r w:rsidR="003F19E2">
        <w:t xml:space="preserve"> this is reassuring, in that defining a movement threshold at 25km </w:t>
      </w:r>
      <w:r w:rsidR="00E15A1C">
        <w:t xml:space="preserve">will designate </w:t>
      </w:r>
      <w:r w:rsidR="00123046">
        <w:t>as mobile</w:t>
      </w:r>
      <w:r w:rsidR="00E15A1C">
        <w:t xml:space="preserve"> those who have in reality moved only a short distance and as such the </w:t>
      </w:r>
      <w:r w:rsidR="00A97941">
        <w:t xml:space="preserve">distinction </w:t>
      </w:r>
      <w:r w:rsidR="00E15A1C">
        <w:t>between genuine mover</w:t>
      </w:r>
      <w:r w:rsidR="00A97941">
        <w:t>s</w:t>
      </w:r>
      <w:r w:rsidR="00E15A1C">
        <w:t xml:space="preserve"> and </w:t>
      </w:r>
      <w:r w:rsidR="00A97941">
        <w:t>stayers</w:t>
      </w:r>
      <w:r w:rsidR="00E15A1C">
        <w:t xml:space="preserve"> is blurred. Under such a scenario we would not expect to see clear-cut return</w:t>
      </w:r>
      <w:r w:rsidR="00123046">
        <w:t>s</w:t>
      </w:r>
      <w:r w:rsidR="00E15A1C">
        <w:t xml:space="preserve"> to mobility.</w:t>
      </w:r>
      <w:r w:rsidR="00123046">
        <w:t xml:space="preserve"> N</w:t>
      </w:r>
      <w:r w:rsidR="00E15A1C">
        <w:t xml:space="preserve">oticeably, though, </w:t>
      </w:r>
      <w:r w:rsidR="00123046">
        <w:t xml:space="preserve">those in the stay-leaver group still receive a significant premium even at the </w:t>
      </w:r>
      <w:r w:rsidR="00123046">
        <w:lastRenderedPageBreak/>
        <w:t>25km threshold, averaging in excess of 0.1 log points over the first four deciles and remaining significantly positive (although smaller) over the next three.</w:t>
      </w:r>
      <w:r w:rsidR="00182305">
        <w:rPr>
          <w:rStyle w:val="EndnoteReference"/>
        </w:rPr>
        <w:endnoteReference w:id="21"/>
      </w:r>
    </w:p>
    <w:p w:rsidR="001F0136" w:rsidP="001734E9" w:rsidRDefault="001F0136">
      <w:pPr>
        <w:spacing w:after="0" w:line="360" w:lineRule="auto"/>
        <w:jc w:val="both"/>
        <w:outlineLvl w:val="0"/>
        <w:rPr>
          <w:b/>
        </w:rPr>
      </w:pPr>
    </w:p>
    <w:p w:rsidR="00730735" w:rsidP="001734E9" w:rsidRDefault="002845F8">
      <w:pPr>
        <w:spacing w:after="0" w:line="360" w:lineRule="auto"/>
        <w:jc w:val="both"/>
        <w:outlineLvl w:val="0"/>
        <w:rPr>
          <w:b/>
        </w:rPr>
      </w:pPr>
      <w:r>
        <w:rPr>
          <w:b/>
        </w:rPr>
        <w:t>7.</w:t>
      </w:r>
      <w:r>
        <w:rPr>
          <w:b/>
        </w:rPr>
        <w:tab/>
      </w:r>
      <w:r w:rsidR="00730735">
        <w:rPr>
          <w:b/>
        </w:rPr>
        <w:t>Conclusions</w:t>
      </w:r>
    </w:p>
    <w:p w:rsidR="00A97941" w:rsidP="00FC2291" w:rsidRDefault="00F55831">
      <w:pPr>
        <w:spacing w:after="0" w:line="360" w:lineRule="auto"/>
        <w:jc w:val="both"/>
      </w:pPr>
      <w:r>
        <w:t xml:space="preserve">Adopting </w:t>
      </w:r>
      <w:r w:rsidR="000747EF">
        <w:t xml:space="preserve">a bivariate </w:t>
      </w:r>
      <w:r w:rsidR="00A97941">
        <w:t xml:space="preserve">probit </w:t>
      </w:r>
      <w:r>
        <w:t xml:space="preserve">specification to model </w:t>
      </w:r>
      <w:r w:rsidR="000747EF">
        <w:t xml:space="preserve">the dual mobility decision of moving to and from university </w:t>
      </w:r>
      <w:r w:rsidR="00D97D5E">
        <w:t xml:space="preserve">acknowledges </w:t>
      </w:r>
      <w:r w:rsidR="004D29B5">
        <w:t>the</w:t>
      </w:r>
      <w:r w:rsidR="00D97D5E">
        <w:t xml:space="preserve"> potential</w:t>
      </w:r>
      <w:r w:rsidR="004D29B5">
        <w:t xml:space="preserve"> importance of the inter-relationship between the two decisions</w:t>
      </w:r>
      <w:r w:rsidR="00F32B2B">
        <w:t>. U</w:t>
      </w:r>
      <w:r w:rsidR="004D29B5">
        <w:t xml:space="preserve">nobservable traits </w:t>
      </w:r>
      <w:r w:rsidR="00F32B2B">
        <w:t xml:space="preserve">encapsulate </w:t>
      </w:r>
      <w:r w:rsidR="004D29B5">
        <w:t xml:space="preserve">attributes such as motivation, drive and ambition, </w:t>
      </w:r>
      <w:r w:rsidR="00F32B2B">
        <w:t xml:space="preserve">which </w:t>
      </w:r>
      <w:r w:rsidR="004D29B5">
        <w:t xml:space="preserve">positively affect both the decision to leave the home domicile </w:t>
      </w:r>
      <w:r>
        <w:t xml:space="preserve">to attend university </w:t>
      </w:r>
      <w:r w:rsidR="004D29B5">
        <w:t xml:space="preserve">and also the decision to move from university or home region when entering the </w:t>
      </w:r>
      <w:r w:rsidR="009475C6">
        <w:t>labo</w:t>
      </w:r>
      <w:r w:rsidR="00A103F1">
        <w:t>u</w:t>
      </w:r>
      <w:r w:rsidR="009475C6">
        <w:t>r</w:t>
      </w:r>
      <w:r w:rsidR="004D29B5">
        <w:t xml:space="preserve"> market. </w:t>
      </w:r>
    </w:p>
    <w:p w:rsidR="00F64586" w:rsidP="00FC2291" w:rsidRDefault="00F64586">
      <w:pPr>
        <w:spacing w:after="0" w:line="360" w:lineRule="auto"/>
        <w:jc w:val="both"/>
      </w:pPr>
    </w:p>
    <w:p w:rsidR="007913BA" w:rsidP="00DE6EBC" w:rsidRDefault="00C34475">
      <w:pPr>
        <w:spacing w:after="0" w:line="360" w:lineRule="auto"/>
        <w:jc w:val="both"/>
      </w:pPr>
      <w:r>
        <w:t xml:space="preserve">Limited </w:t>
      </w:r>
      <w:r w:rsidR="001500AE">
        <w:t xml:space="preserve">mobility is important </w:t>
      </w:r>
      <w:r w:rsidR="004C52D7">
        <w:t xml:space="preserve">at the individual level for students </w:t>
      </w:r>
      <w:r w:rsidR="001500AE">
        <w:t xml:space="preserve">as </w:t>
      </w:r>
      <w:r>
        <w:t>the</w:t>
      </w:r>
      <w:r w:rsidR="004C52D7">
        <w:t xml:space="preserve"> </w:t>
      </w:r>
      <w:r w:rsidR="001500AE">
        <w:t xml:space="preserve">more mobile enjoy an earnings premium over </w:t>
      </w:r>
      <w:r w:rsidR="004C52D7">
        <w:t xml:space="preserve">those who are less so. </w:t>
      </w:r>
      <w:r w:rsidR="0062749C">
        <w:t>Students</w:t>
      </w:r>
      <w:r w:rsidR="004C52D7">
        <w:t xml:space="preserve"> who remain in their domicile </w:t>
      </w:r>
      <w:r w:rsidR="00712947">
        <w:t xml:space="preserve">location </w:t>
      </w:r>
      <w:r w:rsidR="004C52D7">
        <w:t xml:space="preserve">fare the least well and </w:t>
      </w:r>
      <w:r>
        <w:t xml:space="preserve">do not </w:t>
      </w:r>
      <w:r w:rsidR="004C52D7">
        <w:t xml:space="preserve">experience </w:t>
      </w:r>
      <w:r w:rsidR="0062749C">
        <w:t>an</w:t>
      </w:r>
      <w:r w:rsidR="004C52D7">
        <w:t xml:space="preserve"> earnings advantage over </w:t>
      </w:r>
      <w:r w:rsidR="00266398">
        <w:t>the</w:t>
      </w:r>
      <w:r w:rsidR="00AB6EEE">
        <w:t>ir</w:t>
      </w:r>
      <w:r w:rsidR="00266398">
        <w:t xml:space="preserve"> </w:t>
      </w:r>
      <w:r w:rsidR="004C52D7">
        <w:t xml:space="preserve">more mobile </w:t>
      </w:r>
      <w:r w:rsidR="0047190A">
        <w:t>counterparts</w:t>
      </w:r>
      <w:r w:rsidR="00AB6EEE">
        <w:t xml:space="preserve"> </w:t>
      </w:r>
      <w:r w:rsidR="00027D76">
        <w:t xml:space="preserve">at any point </w:t>
      </w:r>
      <w:r w:rsidR="0062749C">
        <w:t>of</w:t>
      </w:r>
      <w:r w:rsidR="00027D76">
        <w:t xml:space="preserve"> the earnings distribution</w:t>
      </w:r>
      <w:r w:rsidR="004C52D7">
        <w:t>.</w:t>
      </w:r>
      <w:r w:rsidR="00F55831">
        <w:t xml:space="preserve"> </w:t>
      </w:r>
      <w:r w:rsidR="002E0453">
        <w:t xml:space="preserve">While premiums are evident </w:t>
      </w:r>
      <w:r w:rsidR="00F55831">
        <w:t xml:space="preserve">over </w:t>
      </w:r>
      <w:r w:rsidR="00B51CBF">
        <w:t>the various classifications</w:t>
      </w:r>
      <w:r w:rsidR="00F55831">
        <w:t xml:space="preserve"> </w:t>
      </w:r>
      <w:r w:rsidR="002E0453">
        <w:t xml:space="preserve">of mobility, the crucial distinction is </w:t>
      </w:r>
      <w:r w:rsidR="00B51CBF">
        <w:t xml:space="preserve">with </w:t>
      </w:r>
      <w:r w:rsidR="002E0453">
        <w:t>tho</w:t>
      </w:r>
      <w:r w:rsidR="005E5212">
        <w:t xml:space="preserve">se who constrain their location of job search: </w:t>
      </w:r>
      <w:r w:rsidR="00ED700D">
        <w:t>individuals</w:t>
      </w:r>
      <w:r w:rsidR="005E5212">
        <w:t xml:space="preserve"> who move to university but subsequently return to the home domicile</w:t>
      </w:r>
      <w:r w:rsidR="00ED700D">
        <w:t xml:space="preserve"> fail to earn a</w:t>
      </w:r>
      <w:r w:rsidR="005E5212">
        <w:t xml:space="preserve"> premium over most parts of the earnings distribution; </w:t>
      </w:r>
      <w:r w:rsidR="00ED700D">
        <w:t>individuals</w:t>
      </w:r>
      <w:r w:rsidR="005E5212">
        <w:t xml:space="preserve"> who exhibit mobility over university choice but remain in </w:t>
      </w:r>
      <w:r w:rsidR="00ED700D">
        <w:t>the same location</w:t>
      </w:r>
      <w:r w:rsidR="005E5212">
        <w:t xml:space="preserve"> for employment</w:t>
      </w:r>
      <w:r w:rsidR="00ED700D">
        <w:t xml:space="preserve"> earn </w:t>
      </w:r>
      <w:r w:rsidR="005E5212">
        <w:t xml:space="preserve">modest premiums; </w:t>
      </w:r>
      <w:r w:rsidR="00ED700D">
        <w:t>individuals</w:t>
      </w:r>
      <w:r w:rsidR="005E5212">
        <w:t xml:space="preserve"> who are immobile in the choice of university but who subsequently move </w:t>
      </w:r>
      <w:r w:rsidR="00ED700D">
        <w:t>for</w:t>
      </w:r>
      <w:r w:rsidR="005E5212">
        <w:t xml:space="preserve"> employment</w:t>
      </w:r>
      <w:r w:rsidR="00ED700D">
        <w:t xml:space="preserve"> earn </w:t>
      </w:r>
      <w:r w:rsidR="00176025">
        <w:t xml:space="preserve">substantial </w:t>
      </w:r>
      <w:r w:rsidR="005E5212">
        <w:t xml:space="preserve">premiums </w:t>
      </w:r>
      <w:r w:rsidR="00FD2138">
        <w:t xml:space="preserve">for all but the very highest and very lowest </w:t>
      </w:r>
      <w:r w:rsidR="00B51CBF">
        <w:t>quantiles</w:t>
      </w:r>
      <w:r w:rsidR="00FD2138">
        <w:t>.</w:t>
      </w:r>
      <w:r w:rsidR="008B6B64">
        <w:t xml:space="preserve"> </w:t>
      </w:r>
      <w:r w:rsidR="007E7C8A">
        <w:t>Furthermore</w:t>
      </w:r>
      <w:r w:rsidR="008B6B64">
        <w:t xml:space="preserve">, the </w:t>
      </w:r>
      <w:r w:rsidR="00176025">
        <w:t xml:space="preserve">fact that mobility </w:t>
      </w:r>
      <w:r w:rsidR="008B6B64">
        <w:t>premium</w:t>
      </w:r>
      <w:r w:rsidR="00176025">
        <w:t>s vary</w:t>
      </w:r>
      <w:r w:rsidR="008B6B64">
        <w:t xml:space="preserve"> along the earnings distribution</w:t>
      </w:r>
      <w:r w:rsidR="00176025">
        <w:t xml:space="preserve"> implies</w:t>
      </w:r>
      <w:r w:rsidR="008B6B64">
        <w:t xml:space="preserve"> that </w:t>
      </w:r>
      <w:r w:rsidR="002A2816">
        <w:t xml:space="preserve">concentrating solely upon the </w:t>
      </w:r>
      <w:r w:rsidR="001D075B">
        <w:t xml:space="preserve">mean of the </w:t>
      </w:r>
      <w:r w:rsidR="002A2816">
        <w:t xml:space="preserve">distribution </w:t>
      </w:r>
      <w:r w:rsidR="00AE6160">
        <w:t xml:space="preserve">provides </w:t>
      </w:r>
      <w:r w:rsidR="002A2816">
        <w:t>a misleading picture as to the true effects of mobility on earnings</w:t>
      </w:r>
      <w:r w:rsidR="002421B9">
        <w:t>.</w:t>
      </w:r>
    </w:p>
    <w:p w:rsidR="00FD2138" w:rsidP="00FC2291" w:rsidRDefault="00FD2138">
      <w:pPr>
        <w:spacing w:after="0" w:line="360" w:lineRule="auto"/>
        <w:jc w:val="both"/>
      </w:pPr>
    </w:p>
    <w:p w:rsidR="0069634C" w:rsidP="00FC2291" w:rsidRDefault="00FD2138">
      <w:pPr>
        <w:spacing w:after="0" w:line="360" w:lineRule="auto"/>
        <w:jc w:val="both"/>
      </w:pPr>
      <w:r>
        <w:t xml:space="preserve">Such findings </w:t>
      </w:r>
      <w:r w:rsidR="002421B9">
        <w:t>lead to</w:t>
      </w:r>
      <w:r>
        <w:t xml:space="preserve"> important considerations from a policy perspective</w:t>
      </w:r>
      <w:r w:rsidR="00157960">
        <w:t xml:space="preserve">. There is </w:t>
      </w:r>
      <w:r w:rsidR="002D6ADE">
        <w:t>an inevitable</w:t>
      </w:r>
      <w:r w:rsidR="00D5072C">
        <w:t xml:space="preserve"> </w:t>
      </w:r>
      <w:r>
        <w:t xml:space="preserve">tension between </w:t>
      </w:r>
      <w:r w:rsidRPr="004E4B9E">
        <w:t>prosperity for regions</w:t>
      </w:r>
      <w:r>
        <w:t xml:space="preserve"> </w:t>
      </w:r>
      <w:r w:rsidR="004E4B9E">
        <w:t xml:space="preserve">from which students originate (but potentially leave) </w:t>
      </w:r>
      <w:r>
        <w:t xml:space="preserve">and the </w:t>
      </w:r>
      <w:r w:rsidR="001D075B">
        <w:t xml:space="preserve">individual </w:t>
      </w:r>
      <w:r>
        <w:t>financial returns available for students</w:t>
      </w:r>
      <w:r w:rsidR="00C13A18">
        <w:t>. Regions have vested interests in retaining, or perhaps even recruiting, highly qualified workers</w:t>
      </w:r>
      <w:r w:rsidR="00157960">
        <w:t>.</w:t>
      </w:r>
      <w:r w:rsidR="00C13A18">
        <w:t xml:space="preserve"> </w:t>
      </w:r>
      <w:r w:rsidR="00157960">
        <w:t xml:space="preserve">In </w:t>
      </w:r>
      <w:r w:rsidR="00C13A18">
        <w:t>Scotland and Wales</w:t>
      </w:r>
      <w:r w:rsidR="000B616E">
        <w:t>, where</w:t>
      </w:r>
      <w:r w:rsidR="00C13A18">
        <w:t xml:space="preserve"> tuition fees </w:t>
      </w:r>
      <w:r w:rsidR="00157960">
        <w:t>of</w:t>
      </w:r>
      <w:r w:rsidR="00D32802">
        <w:t xml:space="preserve"> domiciled</w:t>
      </w:r>
      <w:r w:rsidR="00C13A18">
        <w:t xml:space="preserve"> students </w:t>
      </w:r>
      <w:r w:rsidR="00157960">
        <w:t xml:space="preserve">are </w:t>
      </w:r>
      <w:r w:rsidR="00C13A18">
        <w:t>subsidised, there are obvious financial implications for regions that find themselves net exporter</w:t>
      </w:r>
      <w:r w:rsidR="00731F8C">
        <w:t>s</w:t>
      </w:r>
      <w:r w:rsidR="00C13A18">
        <w:t xml:space="preserve"> of student talent</w:t>
      </w:r>
      <w:r w:rsidR="00D2145D">
        <w:t xml:space="preserve">. </w:t>
      </w:r>
      <w:r w:rsidR="0088678A">
        <w:t>W</w:t>
      </w:r>
      <w:r w:rsidR="00273329">
        <w:t xml:space="preserve">hile our </w:t>
      </w:r>
      <w:r w:rsidR="0088678A">
        <w:t xml:space="preserve">analysis </w:t>
      </w:r>
      <w:r w:rsidR="00273329">
        <w:t xml:space="preserve">encompasses a period </w:t>
      </w:r>
      <w:r w:rsidR="0088678A">
        <w:t xml:space="preserve">prior to </w:t>
      </w:r>
      <w:r w:rsidR="007E7C8A">
        <w:t>an</w:t>
      </w:r>
      <w:r w:rsidR="00273329">
        <w:t xml:space="preserve"> increase in fees </w:t>
      </w:r>
      <w:r w:rsidR="007E7C8A">
        <w:t xml:space="preserve">of up </w:t>
      </w:r>
      <w:r w:rsidR="00273329">
        <w:t xml:space="preserve">to £9000 in England, the implications for current cohorts is nonetheless clear. If graduates are to recoup </w:t>
      </w:r>
      <w:r w:rsidR="00B51CBF">
        <w:t xml:space="preserve">their </w:t>
      </w:r>
      <w:r w:rsidR="00273329">
        <w:t>investment</w:t>
      </w:r>
      <w:r w:rsidR="001D075B">
        <w:t>,</w:t>
      </w:r>
      <w:r w:rsidR="00273329">
        <w:t xml:space="preserve"> </w:t>
      </w:r>
      <w:r w:rsidR="00CB2123">
        <w:t xml:space="preserve">mobility in terms of employment </w:t>
      </w:r>
      <w:r w:rsidR="001D075B">
        <w:t>is</w:t>
      </w:r>
      <w:r w:rsidR="00273329">
        <w:t xml:space="preserve"> crucial</w:t>
      </w:r>
      <w:r w:rsidR="00CB2123">
        <w:t>.</w:t>
      </w:r>
      <w:r w:rsidR="00273329">
        <w:t xml:space="preserve"> </w:t>
      </w:r>
      <w:r w:rsidR="00B51CBF">
        <w:t xml:space="preserve">The results suggest this </w:t>
      </w:r>
      <w:r w:rsidR="00273329">
        <w:t>is more important than the initial decision</w:t>
      </w:r>
      <w:r w:rsidR="001D075B">
        <w:t xml:space="preserve"> of</w:t>
      </w:r>
      <w:r w:rsidR="00273329">
        <w:t xml:space="preserve"> whether or not to move to study.</w:t>
      </w:r>
    </w:p>
    <w:p w:rsidR="00A97941" w:rsidRDefault="00A97941">
      <w:pPr>
        <w:rPr>
          <w:b/>
        </w:rPr>
      </w:pPr>
      <w:r>
        <w:rPr>
          <w:b/>
        </w:rPr>
        <w:br w:type="page"/>
      </w:r>
    </w:p>
    <w:p w:rsidRPr="0069634C" w:rsidR="00D90BF5" w:rsidP="001734E9" w:rsidRDefault="00D90BF5">
      <w:pPr>
        <w:pStyle w:val="Header"/>
        <w:jc w:val="both"/>
        <w:outlineLvl w:val="0"/>
        <w:rPr>
          <w:b/>
        </w:rPr>
      </w:pPr>
      <w:r w:rsidRPr="0069634C">
        <w:rPr>
          <w:b/>
        </w:rPr>
        <w:lastRenderedPageBreak/>
        <w:t>References</w:t>
      </w:r>
    </w:p>
    <w:p w:rsidR="00D90BF5" w:rsidP="00D90BF5" w:rsidRDefault="00D90BF5">
      <w:pPr>
        <w:pStyle w:val="Header"/>
        <w:jc w:val="both"/>
      </w:pPr>
    </w:p>
    <w:p w:rsidR="00D90BF5" w:rsidRDefault="00586827">
      <w:pPr>
        <w:pStyle w:val="Header"/>
        <w:jc w:val="both"/>
      </w:pPr>
      <w:r>
        <w:t>Abreu M., Faggia</w:t>
      </w:r>
      <w:r w:rsidR="00D90BF5">
        <w:t xml:space="preserve">n A. and McCann P. </w:t>
      </w:r>
      <w:r w:rsidR="007934C2">
        <w:t>“</w:t>
      </w:r>
      <w:r w:rsidR="00D90BF5">
        <w:t>Migration and Inter-Industry Mobility of UK Graduates</w:t>
      </w:r>
      <w:r w:rsidR="007934C2">
        <w:t>”</w:t>
      </w:r>
      <w:r w:rsidR="00D90BF5">
        <w:t xml:space="preserve">, </w:t>
      </w:r>
      <w:r w:rsidRPr="008506F2" w:rsidR="00D90BF5">
        <w:rPr>
          <w:i/>
        </w:rPr>
        <w:t>Journal</w:t>
      </w:r>
      <w:r w:rsidR="00D90BF5">
        <w:rPr>
          <w:i/>
        </w:rPr>
        <w:t xml:space="preserve"> of Economic Geography,</w:t>
      </w:r>
      <w:r w:rsidR="00C9791B">
        <w:t xml:space="preserve"> 15</w:t>
      </w:r>
      <w:r w:rsidR="00D90BF5">
        <w:t>,</w:t>
      </w:r>
      <w:r w:rsidR="00D415B2">
        <w:t xml:space="preserve"> </w:t>
      </w:r>
      <w:r w:rsidR="00D90BF5">
        <w:t>2015,</w:t>
      </w:r>
      <w:r w:rsidR="00C9791B">
        <w:t xml:space="preserve"> </w:t>
      </w:r>
      <w:r w:rsidR="00D90BF5">
        <w:t>353-358.</w:t>
      </w:r>
    </w:p>
    <w:p w:rsidR="00D90BF5" w:rsidRDefault="00D90BF5">
      <w:pPr>
        <w:pStyle w:val="Header"/>
        <w:jc w:val="both"/>
      </w:pPr>
    </w:p>
    <w:p w:rsidRPr="00E22E08" w:rsidR="00D90BF5" w:rsidRDefault="00D90BF5">
      <w:pPr>
        <w:pStyle w:val="Header"/>
        <w:jc w:val="both"/>
      </w:pPr>
      <w:r>
        <w:t xml:space="preserve">Ahlin L., Andersson M. and Thulin P. </w:t>
      </w:r>
      <w:r w:rsidR="007934C2">
        <w:t>“</w:t>
      </w:r>
      <w:r>
        <w:t>Market Thickness and the Early Market Career of University Graduates- An Urban Advantage</w:t>
      </w:r>
      <w:r w:rsidR="007934C2">
        <w:t>”</w:t>
      </w:r>
      <w:r>
        <w:t xml:space="preserve">, </w:t>
      </w:r>
      <w:r w:rsidR="001F7432">
        <w:rPr>
          <w:i/>
        </w:rPr>
        <w:t>Spatial Economic</w:t>
      </w:r>
      <w:r>
        <w:rPr>
          <w:i/>
        </w:rPr>
        <w:t xml:space="preserve"> Analysis,</w:t>
      </w:r>
      <w:r w:rsidR="00C9791B">
        <w:rPr>
          <w:i/>
        </w:rPr>
        <w:t xml:space="preserve"> </w:t>
      </w:r>
      <w:r w:rsidR="00C9791B">
        <w:t>9</w:t>
      </w:r>
      <w:r>
        <w:t>,</w:t>
      </w:r>
      <w:r w:rsidR="007934C2">
        <w:t xml:space="preserve"> 2</w:t>
      </w:r>
      <w:r>
        <w:t>014,</w:t>
      </w:r>
      <w:r w:rsidR="007934C2">
        <w:t xml:space="preserve"> </w:t>
      </w:r>
      <w:r>
        <w:t>396-419.</w:t>
      </w:r>
    </w:p>
    <w:p w:rsidR="00D90BF5" w:rsidRDefault="00D90BF5">
      <w:pPr>
        <w:pStyle w:val="Header"/>
        <w:jc w:val="both"/>
      </w:pPr>
    </w:p>
    <w:p w:rsidRPr="00430DFD" w:rsidR="00D90BF5" w:rsidRDefault="00D415B2">
      <w:pPr>
        <w:pStyle w:val="Header"/>
        <w:jc w:val="both"/>
      </w:pPr>
      <w:r>
        <w:t xml:space="preserve">Biagi </w:t>
      </w:r>
      <w:r w:rsidR="00D90BF5">
        <w:t>B.,</w:t>
      </w:r>
      <w:r w:rsidR="007934C2">
        <w:t xml:space="preserve"> </w:t>
      </w:r>
      <w:r w:rsidR="00D90BF5">
        <w:t xml:space="preserve">Faggian  A. and McCann P. </w:t>
      </w:r>
      <w:r w:rsidR="007934C2">
        <w:t>“</w:t>
      </w:r>
      <w:r w:rsidR="00D90BF5">
        <w:t xml:space="preserve">Long and Short Distance Migration </w:t>
      </w:r>
      <w:r w:rsidR="001F7432">
        <w:t>in Italy: The Role of Economic,</w:t>
      </w:r>
      <w:r w:rsidR="00D90BF5">
        <w:t xml:space="preserve"> Social and Environmental  Characteristics</w:t>
      </w:r>
      <w:r w:rsidR="00BA3D97">
        <w:t>”</w:t>
      </w:r>
      <w:r w:rsidR="00D90BF5">
        <w:rPr>
          <w:i/>
        </w:rPr>
        <w:t xml:space="preserve">, Spatial Economic Analysis, </w:t>
      </w:r>
      <w:r w:rsidR="00D90BF5">
        <w:t>6,</w:t>
      </w:r>
      <w:r w:rsidR="00BA3D97">
        <w:t xml:space="preserve"> </w:t>
      </w:r>
      <w:r w:rsidR="00D90BF5">
        <w:t>2011,</w:t>
      </w:r>
      <w:r w:rsidR="00BA3D97">
        <w:t xml:space="preserve"> </w:t>
      </w:r>
      <w:r w:rsidR="00D90BF5">
        <w:t>111-131.</w:t>
      </w:r>
    </w:p>
    <w:p w:rsidR="00D90BF5" w:rsidRDefault="00D90BF5">
      <w:pPr>
        <w:pStyle w:val="Header"/>
        <w:jc w:val="both"/>
      </w:pPr>
    </w:p>
    <w:p w:rsidRPr="005932FB" w:rsidR="00FD2ED6" w:rsidP="00312C93" w:rsidRDefault="00FD2ED6">
      <w:pPr>
        <w:spacing w:after="0" w:line="240" w:lineRule="auto"/>
        <w:jc w:val="both"/>
      </w:pPr>
      <w:r>
        <w:t xml:space="preserve">Britton J., Shepard N. and Vignoles A. </w:t>
      </w:r>
      <w:r w:rsidRPr="00E37576">
        <w:rPr>
          <w:i/>
        </w:rPr>
        <w:t xml:space="preserve">Comparing Sample Survey Measures of Earnings of English Graduates with Administrative Data </w:t>
      </w:r>
      <w:r w:rsidRPr="00E37576" w:rsidR="00E80401">
        <w:rPr>
          <w:i/>
        </w:rPr>
        <w:t>D</w:t>
      </w:r>
      <w:r w:rsidRPr="00E37576">
        <w:rPr>
          <w:i/>
        </w:rPr>
        <w:t>uring the Great Recession</w:t>
      </w:r>
      <w:r>
        <w:t>, IFS/Nuffield Foundation Working Paper W15/28, 2015.</w:t>
      </w:r>
    </w:p>
    <w:p w:rsidR="00FD2ED6" w:rsidP="00312C93" w:rsidRDefault="00FD2ED6">
      <w:pPr>
        <w:spacing w:after="0" w:line="240" w:lineRule="auto"/>
        <w:jc w:val="both"/>
      </w:pPr>
    </w:p>
    <w:p w:rsidR="00FD2ED6" w:rsidP="00312C93" w:rsidRDefault="00FD2ED6">
      <w:pPr>
        <w:spacing w:after="0" w:line="240" w:lineRule="auto"/>
        <w:jc w:val="both"/>
      </w:pPr>
      <w:r w:rsidRPr="00FF75D5">
        <w:t>Bristow G.,</w:t>
      </w:r>
      <w:r w:rsidR="00947DD3">
        <w:t xml:space="preserve"> </w:t>
      </w:r>
      <w:r w:rsidRPr="00FF75D5">
        <w:t>Pill M.</w:t>
      </w:r>
      <w:r w:rsidR="00E80401">
        <w:t>,</w:t>
      </w:r>
      <w:r w:rsidRPr="00FF75D5">
        <w:t xml:space="preserve"> Davies R. and Drinkwater S</w:t>
      </w:r>
      <w:r w:rsidR="00E80401">
        <w:t xml:space="preserve">. </w:t>
      </w:r>
      <w:r w:rsidRPr="00E37576">
        <w:rPr>
          <w:i/>
        </w:rPr>
        <w:t>Welsh Graduate Mobility</w:t>
      </w:r>
      <w:r>
        <w:rPr>
          <w:b/>
        </w:rPr>
        <w:t xml:space="preserve">, </w:t>
      </w:r>
      <w:r w:rsidRPr="00FF75D5">
        <w:t>SKOPE/WISERD Report,</w:t>
      </w:r>
      <w:r>
        <w:t xml:space="preserve"> Cardiff University, 2011.</w:t>
      </w:r>
    </w:p>
    <w:p w:rsidR="00FD2ED6" w:rsidRDefault="00FD2ED6">
      <w:pPr>
        <w:pStyle w:val="Header"/>
        <w:jc w:val="both"/>
      </w:pPr>
    </w:p>
    <w:p w:rsidR="00D90BF5" w:rsidRDefault="00D90BF5">
      <w:pPr>
        <w:pStyle w:val="Header"/>
        <w:jc w:val="both"/>
      </w:pPr>
      <w:r w:rsidRPr="00BF4A33">
        <w:t>Chevalier</w:t>
      </w:r>
      <w:r>
        <w:t xml:space="preserve"> A</w:t>
      </w:r>
      <w:r w:rsidR="00BA3D97">
        <w:t>.</w:t>
      </w:r>
      <w:r>
        <w:t xml:space="preserve"> </w:t>
      </w:r>
      <w:r w:rsidR="00BA3D97">
        <w:t>“</w:t>
      </w:r>
      <w:r>
        <w:t>Subject Choice and Earnings of UK Graduates</w:t>
      </w:r>
      <w:r w:rsidR="00BA3D97">
        <w:t>”</w:t>
      </w:r>
      <w:r>
        <w:t xml:space="preserve">, </w:t>
      </w:r>
      <w:r>
        <w:rPr>
          <w:i/>
        </w:rPr>
        <w:t>Economics of Education Review,</w:t>
      </w:r>
      <w:r w:rsidRPr="00662952">
        <w:t xml:space="preserve"> 30, </w:t>
      </w:r>
      <w:r>
        <w:t>2011, 1187-1201</w:t>
      </w:r>
      <w:r w:rsidR="00BA3D97">
        <w:t>.</w:t>
      </w:r>
    </w:p>
    <w:p w:rsidR="00D90BF5" w:rsidRDefault="00D90BF5">
      <w:pPr>
        <w:pStyle w:val="Header"/>
        <w:jc w:val="both"/>
      </w:pPr>
    </w:p>
    <w:p w:rsidR="00FD2ED6" w:rsidP="00312C93" w:rsidRDefault="00FD2ED6">
      <w:pPr>
        <w:spacing w:after="0" w:line="240" w:lineRule="auto"/>
        <w:jc w:val="both"/>
      </w:pPr>
      <w:r>
        <w:t>Coniglio N. and Prota F</w:t>
      </w:r>
      <w:r w:rsidR="00947DD3">
        <w:t>.</w:t>
      </w:r>
      <w:r w:rsidR="00E80401">
        <w:t xml:space="preserve"> “</w:t>
      </w:r>
      <w:r>
        <w:t>Human Capital Accumulation and Migration in a Peripheral EU Region; The Case of Basilicata</w:t>
      </w:r>
      <w:r w:rsidR="00E80401">
        <w:t>”</w:t>
      </w:r>
      <w:r>
        <w:t xml:space="preserve">, </w:t>
      </w:r>
      <w:r>
        <w:rPr>
          <w:i/>
        </w:rPr>
        <w:t xml:space="preserve">Papers in Regional Science, </w:t>
      </w:r>
      <w:r>
        <w:t>87,</w:t>
      </w:r>
      <w:r w:rsidR="00E80401">
        <w:t xml:space="preserve"> </w:t>
      </w:r>
      <w:r>
        <w:t>2008,</w:t>
      </w:r>
      <w:r w:rsidR="00E80401">
        <w:t xml:space="preserve"> </w:t>
      </w:r>
      <w:r>
        <w:t>77-95.</w:t>
      </w:r>
    </w:p>
    <w:p w:rsidR="00FD2ED6" w:rsidRDefault="00FD2ED6">
      <w:pPr>
        <w:pStyle w:val="Header"/>
        <w:jc w:val="both"/>
      </w:pPr>
    </w:p>
    <w:p w:rsidR="00D90BF5" w:rsidRDefault="00D90BF5">
      <w:pPr>
        <w:pStyle w:val="Header"/>
        <w:jc w:val="both"/>
      </w:pPr>
      <w:r>
        <w:t>Corcoran J., Faggian A</w:t>
      </w:r>
      <w:r w:rsidR="00947DD3">
        <w:t>.</w:t>
      </w:r>
      <w:r>
        <w:t xml:space="preserve"> and McCann P. </w:t>
      </w:r>
      <w:r w:rsidR="00BA3D97">
        <w:t>“</w:t>
      </w:r>
      <w:r>
        <w:t>Human Capital in Remote and Rural Australia; The Role of Graduate Migration</w:t>
      </w:r>
      <w:r w:rsidR="00BA3D97">
        <w:t>”</w:t>
      </w:r>
      <w:r>
        <w:t xml:space="preserve">, </w:t>
      </w:r>
      <w:r>
        <w:rPr>
          <w:i/>
        </w:rPr>
        <w:t>Growth and Change,</w:t>
      </w:r>
      <w:r w:rsidR="00C9791B">
        <w:rPr>
          <w:i/>
        </w:rPr>
        <w:t xml:space="preserve"> </w:t>
      </w:r>
      <w:r w:rsidR="00C9791B">
        <w:t>41 ,2010, 192-220.</w:t>
      </w:r>
    </w:p>
    <w:p w:rsidR="00D90BF5" w:rsidRDefault="00D90BF5">
      <w:pPr>
        <w:pStyle w:val="Header"/>
        <w:jc w:val="both"/>
      </w:pPr>
    </w:p>
    <w:p w:rsidR="004F7FB1" w:rsidRDefault="004F7FB1">
      <w:pPr>
        <w:pStyle w:val="Header"/>
        <w:jc w:val="both"/>
      </w:pPr>
      <w:r>
        <w:t>Courtioux P., Gregoir, S. and Houeto, D</w:t>
      </w:r>
      <w:r w:rsidR="004A1EE0">
        <w:t>.</w:t>
      </w:r>
      <w:r>
        <w:t xml:space="preserve"> “Modelling the </w:t>
      </w:r>
      <w:r w:rsidR="004A1EE0">
        <w:t>D</w:t>
      </w:r>
      <w:r>
        <w:t xml:space="preserve">istribution of </w:t>
      </w:r>
      <w:r w:rsidR="004A1EE0">
        <w:t>R</w:t>
      </w:r>
      <w:r>
        <w:t xml:space="preserve">eturns on </w:t>
      </w:r>
      <w:r w:rsidR="004A1EE0">
        <w:t>H</w:t>
      </w:r>
      <w:r>
        <w:t xml:space="preserve">igher </w:t>
      </w:r>
      <w:r w:rsidR="004A1EE0">
        <w:t>E</w:t>
      </w:r>
      <w:r>
        <w:t xml:space="preserve">ducation: A </w:t>
      </w:r>
      <w:r w:rsidR="004A1EE0">
        <w:t>M</w:t>
      </w:r>
      <w:r>
        <w:t>icr</w:t>
      </w:r>
      <w:r w:rsidR="004A1EE0">
        <w:t>o</w:t>
      </w:r>
      <w:r>
        <w:t xml:space="preserve">simulation </w:t>
      </w:r>
      <w:r w:rsidR="004A1EE0">
        <w:t>A</w:t>
      </w:r>
      <w:r>
        <w:t>pproach”</w:t>
      </w:r>
      <w:r w:rsidR="004A1EE0">
        <w:t>,</w:t>
      </w:r>
      <w:r>
        <w:t xml:space="preserve"> </w:t>
      </w:r>
      <w:r w:rsidRPr="00372D81">
        <w:rPr>
          <w:i/>
        </w:rPr>
        <w:t>Economic Modelling</w:t>
      </w:r>
      <w:r>
        <w:t>, 38</w:t>
      </w:r>
      <w:r w:rsidR="00417670">
        <w:t xml:space="preserve">, </w:t>
      </w:r>
      <w:r>
        <w:t>2014</w:t>
      </w:r>
      <w:r w:rsidR="00417670">
        <w:t xml:space="preserve">, </w:t>
      </w:r>
      <w:r>
        <w:t>328-40</w:t>
      </w:r>
    </w:p>
    <w:p w:rsidR="004F7FB1" w:rsidRDefault="004F7FB1">
      <w:pPr>
        <w:pStyle w:val="Header"/>
        <w:jc w:val="both"/>
      </w:pPr>
    </w:p>
    <w:p w:rsidRPr="00663FB6" w:rsidR="00D90BF5" w:rsidRDefault="00D90BF5">
      <w:pPr>
        <w:pStyle w:val="Header"/>
        <w:jc w:val="both"/>
      </w:pPr>
      <w:r>
        <w:t xml:space="preserve">DaVanzo J. </w:t>
      </w:r>
      <w:r w:rsidR="00BA3D97">
        <w:t>“</w:t>
      </w:r>
      <w:r>
        <w:t>Differences between Return and Non Return Migration: An Econometric Analysis</w:t>
      </w:r>
      <w:r w:rsidR="00BA3D97">
        <w:t>”</w:t>
      </w:r>
      <w:r>
        <w:t xml:space="preserve">, </w:t>
      </w:r>
      <w:r w:rsidRPr="008506F2">
        <w:rPr>
          <w:i/>
        </w:rPr>
        <w:t>International</w:t>
      </w:r>
      <w:r>
        <w:rPr>
          <w:i/>
        </w:rPr>
        <w:t xml:space="preserve"> Migration Review,</w:t>
      </w:r>
      <w:r>
        <w:t xml:space="preserve"> 10, 1976, 13-27.</w:t>
      </w:r>
    </w:p>
    <w:p w:rsidR="00D90BF5" w:rsidRDefault="00D90BF5">
      <w:pPr>
        <w:pStyle w:val="Header"/>
        <w:jc w:val="both"/>
      </w:pPr>
    </w:p>
    <w:p w:rsidRPr="00663FB6" w:rsidR="00D90BF5" w:rsidRDefault="00D90BF5">
      <w:pPr>
        <w:pStyle w:val="Header"/>
        <w:jc w:val="both"/>
      </w:pPr>
      <w:r>
        <w:t xml:space="preserve">DaVanzo J. </w:t>
      </w:r>
      <w:r w:rsidR="00BA3D97">
        <w:t>“</w:t>
      </w:r>
      <w:r>
        <w:t>Repeat Migration in the United States: Who Moves Back and Who Moves On</w:t>
      </w:r>
      <w:r w:rsidR="00BA3D97">
        <w:t>”</w:t>
      </w:r>
      <w:r>
        <w:t xml:space="preserve">, </w:t>
      </w:r>
      <w:r>
        <w:rPr>
          <w:i/>
        </w:rPr>
        <w:t xml:space="preserve">Review of Economics and Statistics, </w:t>
      </w:r>
      <w:r w:rsidR="00C9791B">
        <w:t>65</w:t>
      </w:r>
      <w:r>
        <w:t>, 1983, 552-559.</w:t>
      </w:r>
    </w:p>
    <w:p w:rsidR="00D90BF5" w:rsidRDefault="00D90BF5">
      <w:pPr>
        <w:pStyle w:val="Header"/>
        <w:jc w:val="both"/>
      </w:pPr>
    </w:p>
    <w:p w:rsidR="00D90BF5" w:rsidRDefault="00D90BF5">
      <w:pPr>
        <w:pStyle w:val="Header"/>
        <w:jc w:val="both"/>
      </w:pPr>
      <w:r>
        <w:t>Denzler S. and Wolter S</w:t>
      </w:r>
      <w:r w:rsidR="00BA3D97">
        <w:t>.</w:t>
      </w:r>
      <w:r>
        <w:t xml:space="preserve"> </w:t>
      </w:r>
      <w:r w:rsidRPr="00662952">
        <w:rPr>
          <w:i/>
        </w:rPr>
        <w:t>Too Far to Go? Does Distance Determine Study Choices?</w:t>
      </w:r>
      <w:r>
        <w:t xml:space="preserve"> IZA Discussion Paper No. 5712, 2011.</w:t>
      </w:r>
    </w:p>
    <w:p w:rsidR="00D90BF5" w:rsidRDefault="00D90BF5">
      <w:pPr>
        <w:pStyle w:val="Header"/>
        <w:jc w:val="both"/>
      </w:pPr>
    </w:p>
    <w:p w:rsidR="00D90BF5" w:rsidRDefault="00D90BF5">
      <w:pPr>
        <w:pStyle w:val="Header"/>
        <w:jc w:val="both"/>
      </w:pPr>
      <w:r>
        <w:t xml:space="preserve">de Grip, A., Bosma, H., Willems, D. and van Boxtel, M. </w:t>
      </w:r>
      <w:r w:rsidR="00BA3D97">
        <w:t>“</w:t>
      </w:r>
      <w:r>
        <w:t>Job Worker Mismatch and Cognitive Decline</w:t>
      </w:r>
      <w:r w:rsidR="00BA3D97">
        <w:t>”</w:t>
      </w:r>
      <w:r>
        <w:t xml:space="preserve">, </w:t>
      </w:r>
      <w:r w:rsidRPr="00F75554">
        <w:rPr>
          <w:i/>
        </w:rPr>
        <w:t>Oxford Economic Papers</w:t>
      </w:r>
      <w:r>
        <w:t>, 60, 2008, 237-253.</w:t>
      </w:r>
    </w:p>
    <w:p w:rsidR="00D90BF5" w:rsidRDefault="00D90BF5">
      <w:pPr>
        <w:pStyle w:val="Header"/>
        <w:jc w:val="both"/>
      </w:pPr>
    </w:p>
    <w:p w:rsidR="00FD2ED6" w:rsidP="00312C93" w:rsidRDefault="00FD2ED6">
      <w:pPr>
        <w:spacing w:after="0" w:line="240" w:lineRule="auto"/>
        <w:jc w:val="both"/>
      </w:pPr>
      <w:r>
        <w:t>Dotti N. F., Fratesi M.</w:t>
      </w:r>
      <w:r w:rsidR="00E80401">
        <w:t xml:space="preserve">, </w:t>
      </w:r>
      <w:r>
        <w:t>Lenzi C.and Percoco M.</w:t>
      </w:r>
      <w:r w:rsidR="00E80401">
        <w:t xml:space="preserve"> “</w:t>
      </w:r>
      <w:r>
        <w:t>Local Labour Markets and the Inter-Regional Mobility of Italian University Students</w:t>
      </w:r>
      <w:r w:rsidR="00E80401">
        <w:t>”</w:t>
      </w:r>
      <w:r>
        <w:t xml:space="preserve">, </w:t>
      </w:r>
      <w:r>
        <w:rPr>
          <w:i/>
        </w:rPr>
        <w:t>Spatial Economic Analysis</w:t>
      </w:r>
      <w:r w:rsidRPr="00E37576">
        <w:t>,</w:t>
      </w:r>
      <w:r>
        <w:t xml:space="preserve"> 8, 2013, 443-468.</w:t>
      </w:r>
    </w:p>
    <w:p w:rsidR="00FD2ED6" w:rsidP="00312C93" w:rsidRDefault="00FD2ED6">
      <w:pPr>
        <w:spacing w:after="0" w:line="240" w:lineRule="auto"/>
        <w:jc w:val="both"/>
      </w:pPr>
    </w:p>
    <w:p w:rsidR="00FD2ED6" w:rsidP="00312C93" w:rsidRDefault="00FD2ED6">
      <w:pPr>
        <w:spacing w:after="0" w:line="240" w:lineRule="auto"/>
        <w:jc w:val="both"/>
      </w:pPr>
      <w:r w:rsidRPr="00177B07">
        <w:t>Faggian A. and McCann P.</w:t>
      </w:r>
      <w:r w:rsidR="00E80401">
        <w:t xml:space="preserve"> “</w:t>
      </w:r>
      <w:r w:rsidRPr="00177B07">
        <w:t>Human Capital, Graduate Migration and Innovation in British Regions</w:t>
      </w:r>
      <w:r w:rsidR="00E80401">
        <w:t>”</w:t>
      </w:r>
      <w:r>
        <w:t xml:space="preserve">, </w:t>
      </w:r>
      <w:r>
        <w:rPr>
          <w:i/>
        </w:rPr>
        <w:t>Cambridge Journal of Economics</w:t>
      </w:r>
      <w:r>
        <w:t>,</w:t>
      </w:r>
      <w:r w:rsidR="00E80401">
        <w:t xml:space="preserve"> </w:t>
      </w:r>
      <w:r>
        <w:t>33,</w:t>
      </w:r>
      <w:r w:rsidR="00E80401">
        <w:t xml:space="preserve"> </w:t>
      </w:r>
      <w:r>
        <w:t>2008, 317-333.</w:t>
      </w:r>
    </w:p>
    <w:p w:rsidR="00FD2ED6" w:rsidP="00312C93" w:rsidRDefault="00FD2ED6">
      <w:pPr>
        <w:spacing w:after="0" w:line="240" w:lineRule="auto"/>
        <w:jc w:val="both"/>
      </w:pPr>
    </w:p>
    <w:p w:rsidR="002E5B01" w:rsidP="00312C93" w:rsidRDefault="00FD2ED6">
      <w:pPr>
        <w:spacing w:after="0" w:line="240" w:lineRule="auto"/>
        <w:jc w:val="both"/>
      </w:pPr>
      <w:r>
        <w:t>Faggian A. and McCann P</w:t>
      </w:r>
      <w:r w:rsidR="00947DD3">
        <w:t>. “</w:t>
      </w:r>
      <w:r>
        <w:t>Human Capital and Regional Development</w:t>
      </w:r>
      <w:r w:rsidR="00947DD3">
        <w:t>”</w:t>
      </w:r>
      <w:r>
        <w:t>, in Capello R. and Nijkamp P.</w:t>
      </w:r>
      <w:r w:rsidR="00947DD3">
        <w:t xml:space="preserve"> </w:t>
      </w:r>
      <w:r>
        <w:rPr>
          <w:i/>
        </w:rPr>
        <w:t xml:space="preserve">Handbook of Regional </w:t>
      </w:r>
      <w:r w:rsidR="002E5B01">
        <w:rPr>
          <w:i/>
        </w:rPr>
        <w:t>G</w:t>
      </w:r>
      <w:r>
        <w:rPr>
          <w:i/>
        </w:rPr>
        <w:t>rowth and Development Theories</w:t>
      </w:r>
      <w:r>
        <w:t>, Edward Elgar</w:t>
      </w:r>
      <w:r w:rsidR="00E80401">
        <w:t xml:space="preserve">: </w:t>
      </w:r>
      <w:r>
        <w:t>Cheltenham, 2009a,</w:t>
      </w:r>
      <w:r w:rsidR="00947DD3">
        <w:t xml:space="preserve"> </w:t>
      </w:r>
      <w:r>
        <w:t>133-151.</w:t>
      </w:r>
    </w:p>
    <w:p w:rsidR="00FD2ED6" w:rsidRDefault="00FD2ED6">
      <w:pPr>
        <w:spacing w:after="0" w:line="240" w:lineRule="auto"/>
        <w:jc w:val="both"/>
        <w:rPr>
          <w:i/>
        </w:rPr>
      </w:pPr>
      <w:r>
        <w:lastRenderedPageBreak/>
        <w:t xml:space="preserve">Faggian A. and McCann P. </w:t>
      </w:r>
      <w:r w:rsidR="00E80401">
        <w:t>“</w:t>
      </w:r>
      <w:r>
        <w:t xml:space="preserve">Universities, Agglomeration and </w:t>
      </w:r>
      <w:r w:rsidRPr="00A53FF3">
        <w:t>Gradua</w:t>
      </w:r>
      <w:r>
        <w:t>te Human Capital Mobility</w:t>
      </w:r>
      <w:r w:rsidR="00E80401">
        <w:t>”</w:t>
      </w:r>
      <w:r>
        <w:t xml:space="preserve">, </w:t>
      </w:r>
      <w:r w:rsidRPr="00A53FF3">
        <w:rPr>
          <w:i/>
        </w:rPr>
        <w:t>Tijdschrift</w:t>
      </w:r>
      <w:r>
        <w:rPr>
          <w:i/>
        </w:rPr>
        <w:t xml:space="preserve"> voor Economische en Sociale Geografie</w:t>
      </w:r>
      <w:r w:rsidRPr="003B43CF">
        <w:t>, 100, 2009b, 201-223.</w:t>
      </w:r>
    </w:p>
    <w:p w:rsidR="004A1EE0" w:rsidRDefault="004A1EE0">
      <w:pPr>
        <w:spacing w:after="0" w:line="240" w:lineRule="auto"/>
        <w:jc w:val="both"/>
      </w:pPr>
    </w:p>
    <w:p w:rsidR="00FD2ED6" w:rsidRDefault="00FD2ED6">
      <w:pPr>
        <w:spacing w:after="0" w:line="240" w:lineRule="auto"/>
        <w:jc w:val="both"/>
      </w:pPr>
      <w:r>
        <w:t xml:space="preserve">Faggian A., McCann P. and Sheppard S. </w:t>
      </w:r>
      <w:r w:rsidR="00947DD3">
        <w:t>“</w:t>
      </w:r>
      <w:r>
        <w:t>Some Evidence that Women are More Mobile than Men: Gender Differences in UK Graduate Migration Behavior</w:t>
      </w:r>
      <w:r w:rsidR="00947DD3">
        <w:t>”</w:t>
      </w:r>
      <w:r>
        <w:t xml:space="preserve">, </w:t>
      </w:r>
      <w:r>
        <w:rPr>
          <w:i/>
        </w:rPr>
        <w:t>Journal of Regional Science</w:t>
      </w:r>
      <w:r w:rsidRPr="00E37576">
        <w:t>,</w:t>
      </w:r>
      <w:r w:rsidR="00947DD3">
        <w:t xml:space="preserve"> </w:t>
      </w:r>
      <w:r w:rsidRPr="00E37576">
        <w:t>47,</w:t>
      </w:r>
      <w:r>
        <w:t xml:space="preserve"> 2007a,</w:t>
      </w:r>
      <w:r w:rsidR="00E80401">
        <w:t xml:space="preserve"> </w:t>
      </w:r>
      <w:r>
        <w:t>517-539.</w:t>
      </w:r>
    </w:p>
    <w:p w:rsidR="00FD2ED6" w:rsidRDefault="00FD2ED6">
      <w:pPr>
        <w:spacing w:after="0" w:line="240" w:lineRule="auto"/>
        <w:jc w:val="both"/>
      </w:pPr>
    </w:p>
    <w:p w:rsidR="00FD2ED6" w:rsidRDefault="00FD2ED6">
      <w:pPr>
        <w:spacing w:after="0" w:line="240" w:lineRule="auto"/>
        <w:jc w:val="both"/>
        <w:rPr>
          <w:color w:val="000000" w:themeColor="text1"/>
        </w:rPr>
      </w:pPr>
      <w:r w:rsidRPr="00336030">
        <w:rPr>
          <w:color w:val="000000" w:themeColor="text1"/>
        </w:rPr>
        <w:t xml:space="preserve">Faggian </w:t>
      </w:r>
      <w:r w:rsidRPr="00336030" w:rsidR="00E80401">
        <w:rPr>
          <w:color w:val="000000" w:themeColor="text1"/>
        </w:rPr>
        <w:t>A.</w:t>
      </w:r>
      <w:r w:rsidRPr="00336030">
        <w:rPr>
          <w:color w:val="000000" w:themeColor="text1"/>
        </w:rPr>
        <w:t xml:space="preserve">, McCann P. and Sheppard S. </w:t>
      </w:r>
      <w:r w:rsidRPr="00336030" w:rsidR="00947DD3">
        <w:rPr>
          <w:color w:val="000000" w:themeColor="text1"/>
        </w:rPr>
        <w:t>“</w:t>
      </w:r>
      <w:r w:rsidRPr="00336030">
        <w:rPr>
          <w:color w:val="000000" w:themeColor="text1"/>
        </w:rPr>
        <w:t>Human Capital, Higher Education and Graduate Migration: An Analysis of Scottish and Welsh Students</w:t>
      </w:r>
      <w:r w:rsidRPr="00336030" w:rsidR="00947DD3">
        <w:rPr>
          <w:color w:val="000000" w:themeColor="text1"/>
        </w:rPr>
        <w:t>”</w:t>
      </w:r>
      <w:r w:rsidRPr="00336030">
        <w:rPr>
          <w:color w:val="000000" w:themeColor="text1"/>
        </w:rPr>
        <w:t xml:space="preserve">, </w:t>
      </w:r>
      <w:r w:rsidRPr="00336030">
        <w:rPr>
          <w:i/>
          <w:color w:val="000000" w:themeColor="text1"/>
        </w:rPr>
        <w:t>Urban Studies</w:t>
      </w:r>
      <w:r w:rsidRPr="00336030">
        <w:rPr>
          <w:color w:val="000000" w:themeColor="text1"/>
        </w:rPr>
        <w:t>, 44, 2007b,</w:t>
      </w:r>
      <w:r w:rsidRPr="00336030" w:rsidR="00E80401">
        <w:rPr>
          <w:color w:val="000000" w:themeColor="text1"/>
        </w:rPr>
        <w:t xml:space="preserve"> </w:t>
      </w:r>
      <w:r w:rsidRPr="00336030">
        <w:rPr>
          <w:color w:val="000000" w:themeColor="text1"/>
        </w:rPr>
        <w:t>11-18.</w:t>
      </w:r>
    </w:p>
    <w:p w:rsidRPr="00336030" w:rsidR="004A1EE0" w:rsidRDefault="004A1EE0">
      <w:pPr>
        <w:spacing w:after="0" w:line="240" w:lineRule="auto"/>
        <w:jc w:val="both"/>
        <w:rPr>
          <w:color w:val="000000" w:themeColor="text1"/>
        </w:rPr>
      </w:pPr>
    </w:p>
    <w:p w:rsidR="004A1EE0" w:rsidP="00336030" w:rsidRDefault="00396A51">
      <w:pPr>
        <w:shd w:val="clear" w:color="auto" w:fill="FFFFFF"/>
        <w:spacing w:after="0" w:line="240" w:lineRule="auto"/>
        <w:ind w:right="-46"/>
        <w:jc w:val="both"/>
        <w:rPr>
          <w:rFonts w:eastAsia="Arial Unicode MS" w:cs="Arial Unicode MS"/>
          <w:iCs/>
          <w:color w:val="000000" w:themeColor="text1"/>
          <w:lang w:val="en-AU" w:eastAsia="en-AU"/>
        </w:rPr>
      </w:pPr>
      <w:r w:rsidRPr="00336030">
        <w:rPr>
          <w:rFonts w:eastAsia="Arial Unicode MS" w:cs="Arial Unicode MS"/>
          <w:color w:val="000000" w:themeColor="text1"/>
          <w:lang w:val="en-AU" w:eastAsia="en-AU"/>
        </w:rPr>
        <w:t>Fougère</w:t>
      </w:r>
      <w:r w:rsidR="004A1EE0">
        <w:rPr>
          <w:rFonts w:eastAsia="Arial Unicode MS" w:cs="Arial Unicode MS"/>
          <w:color w:val="000000" w:themeColor="text1"/>
          <w:lang w:val="en-AU" w:eastAsia="en-AU"/>
        </w:rPr>
        <w:t xml:space="preserve"> </w:t>
      </w:r>
      <w:r w:rsidRPr="00336030">
        <w:rPr>
          <w:rFonts w:eastAsia="Arial Unicode MS" w:cs="Arial Unicode MS"/>
          <w:color w:val="000000" w:themeColor="text1"/>
          <w:lang w:val="en-AU" w:eastAsia="en-AU"/>
        </w:rPr>
        <w:t>M</w:t>
      </w:r>
      <w:r w:rsidR="004A1EE0">
        <w:rPr>
          <w:rFonts w:eastAsia="Arial Unicode MS" w:cs="Arial Unicode MS"/>
          <w:color w:val="000000" w:themeColor="text1"/>
          <w:lang w:val="en-AU" w:eastAsia="en-AU"/>
        </w:rPr>
        <w:t>.</w:t>
      </w:r>
      <w:r w:rsidRPr="00336030">
        <w:rPr>
          <w:rFonts w:eastAsia="Arial Unicode MS" w:cs="Arial Unicode MS"/>
          <w:color w:val="000000" w:themeColor="text1"/>
          <w:lang w:val="en-AU" w:eastAsia="en-AU"/>
        </w:rPr>
        <w:t xml:space="preserve"> and Mérette </w:t>
      </w:r>
      <w:r w:rsidR="00B92FC3">
        <w:rPr>
          <w:rFonts w:eastAsia="Arial Unicode MS" w:cs="Arial Unicode MS"/>
          <w:color w:val="000000" w:themeColor="text1"/>
          <w:lang w:val="en-AU" w:eastAsia="en-AU"/>
        </w:rPr>
        <w:t>M.</w:t>
      </w:r>
      <w:r w:rsidRPr="00336030">
        <w:rPr>
          <w:rFonts w:eastAsia="Arial Unicode MS" w:cs="Arial Unicode MS"/>
          <w:iCs/>
          <w:color w:val="000000" w:themeColor="text1"/>
          <w:lang w:val="en-AU" w:eastAsia="en-AU"/>
        </w:rPr>
        <w:t xml:space="preserve"> </w:t>
      </w:r>
      <w:r w:rsidRPr="00336030">
        <w:rPr>
          <w:rFonts w:eastAsia="Arial Unicode MS" w:cs="Arial Unicode MS"/>
          <w:i/>
          <w:iCs/>
          <w:color w:val="000000" w:themeColor="text1"/>
          <w:lang w:val="en-AU" w:eastAsia="en-AU"/>
        </w:rPr>
        <w:t>“</w:t>
      </w:r>
      <w:r w:rsidRPr="00336030">
        <w:rPr>
          <w:rFonts w:eastAsia="Arial Unicode MS" w:cs="Arial Unicode MS"/>
          <w:color w:val="000000" w:themeColor="text1"/>
          <w:lang w:val="en-AU" w:eastAsia="en-AU"/>
        </w:rPr>
        <w:t xml:space="preserve">Population </w:t>
      </w:r>
      <w:r w:rsidR="004A1EE0">
        <w:rPr>
          <w:rFonts w:eastAsia="Arial Unicode MS" w:cs="Arial Unicode MS"/>
          <w:color w:val="000000" w:themeColor="text1"/>
          <w:lang w:val="en-AU" w:eastAsia="en-AU"/>
        </w:rPr>
        <w:t>A</w:t>
      </w:r>
      <w:r w:rsidRPr="00336030">
        <w:rPr>
          <w:rFonts w:eastAsia="Arial Unicode MS" w:cs="Arial Unicode MS"/>
          <w:color w:val="000000" w:themeColor="text1"/>
          <w:lang w:val="en-AU" w:eastAsia="en-AU"/>
        </w:rPr>
        <w:t>geing and </w:t>
      </w:r>
      <w:r w:rsidR="004A1EE0">
        <w:rPr>
          <w:rFonts w:eastAsia="Arial Unicode MS" w:cs="Arial Unicode MS"/>
          <w:color w:val="000000" w:themeColor="text1"/>
          <w:lang w:val="en-AU" w:eastAsia="en-AU"/>
        </w:rPr>
        <w:t>Economic Growth in S</w:t>
      </w:r>
      <w:r w:rsidRPr="00336030">
        <w:rPr>
          <w:rFonts w:eastAsia="Arial Unicode MS" w:cs="Arial Unicode MS"/>
          <w:color w:val="000000" w:themeColor="text1"/>
          <w:lang w:val="en-AU" w:eastAsia="en-AU"/>
        </w:rPr>
        <w:t xml:space="preserve">even OECD </w:t>
      </w:r>
      <w:r w:rsidR="004A1EE0">
        <w:rPr>
          <w:rFonts w:eastAsia="Arial Unicode MS" w:cs="Arial Unicode MS"/>
          <w:color w:val="000000" w:themeColor="text1"/>
          <w:lang w:val="en-AU" w:eastAsia="en-AU"/>
        </w:rPr>
        <w:t>C</w:t>
      </w:r>
      <w:r w:rsidRPr="00336030">
        <w:rPr>
          <w:rFonts w:eastAsia="Arial Unicode MS" w:cs="Arial Unicode MS"/>
          <w:color w:val="000000" w:themeColor="text1"/>
          <w:lang w:val="en-AU" w:eastAsia="en-AU"/>
        </w:rPr>
        <w:t>ountries</w:t>
      </w:r>
      <w:r w:rsidRPr="00C25766">
        <w:rPr>
          <w:rFonts w:eastAsia="Arial Unicode MS" w:cs="Arial Unicode MS"/>
          <w:bCs/>
          <w:color w:val="000000" w:themeColor="text1"/>
          <w:lang w:val="en-AU" w:eastAsia="en-AU"/>
        </w:rPr>
        <w:t>”</w:t>
      </w:r>
      <w:r w:rsidRPr="00C25766" w:rsidR="004A1EE0">
        <w:rPr>
          <w:rFonts w:eastAsia="Arial Unicode MS" w:cs="Arial Unicode MS"/>
          <w:bCs/>
          <w:color w:val="000000" w:themeColor="text1"/>
          <w:lang w:val="en-AU" w:eastAsia="en-AU"/>
        </w:rPr>
        <w:t>,</w:t>
      </w:r>
      <w:r w:rsidRPr="00336030">
        <w:rPr>
          <w:rFonts w:eastAsia="Arial Unicode MS" w:cs="Arial Unicode MS"/>
          <w:b/>
          <w:bCs/>
          <w:color w:val="000000" w:themeColor="text1"/>
          <w:lang w:val="en-AU" w:eastAsia="en-AU"/>
        </w:rPr>
        <w:t xml:space="preserve"> </w:t>
      </w:r>
      <w:r w:rsidRPr="00336030">
        <w:rPr>
          <w:rFonts w:eastAsia="Arial Unicode MS" w:cs="Arial Unicode MS"/>
          <w:bCs/>
          <w:i/>
          <w:color w:val="000000" w:themeColor="text1"/>
          <w:lang w:val="en-AU" w:eastAsia="en-AU"/>
        </w:rPr>
        <w:t>Economic Modelling</w:t>
      </w:r>
      <w:r w:rsidRPr="00336030">
        <w:rPr>
          <w:rFonts w:eastAsia="Arial Unicode MS" w:cs="Arial Unicode MS"/>
          <w:bCs/>
          <w:color w:val="000000" w:themeColor="text1"/>
          <w:lang w:val="en-AU" w:eastAsia="en-AU"/>
        </w:rPr>
        <w:t>,</w:t>
      </w:r>
      <w:r w:rsidRPr="00336030" w:rsidR="004A1EE0">
        <w:rPr>
          <w:rFonts w:eastAsia="Arial Unicode MS" w:cs="Arial Unicode MS"/>
          <w:iCs/>
          <w:color w:val="000000" w:themeColor="text1"/>
          <w:lang w:val="en-AU" w:eastAsia="en-AU"/>
        </w:rPr>
        <w:t xml:space="preserve"> </w:t>
      </w:r>
      <w:r w:rsidRPr="00336030">
        <w:rPr>
          <w:rFonts w:eastAsia="Arial Unicode MS" w:cs="Arial Unicode MS"/>
          <w:iCs/>
          <w:color w:val="000000" w:themeColor="text1"/>
          <w:lang w:val="en-AU" w:eastAsia="en-AU"/>
        </w:rPr>
        <w:t xml:space="preserve">16, </w:t>
      </w:r>
      <w:r w:rsidRPr="00336030" w:rsidR="004A1EE0">
        <w:rPr>
          <w:rFonts w:eastAsia="Arial Unicode MS" w:cs="Arial Unicode MS"/>
          <w:iCs/>
          <w:color w:val="000000" w:themeColor="text1"/>
          <w:lang w:val="en-AU" w:eastAsia="en-AU"/>
        </w:rPr>
        <w:t>1999, 411-427.</w:t>
      </w:r>
    </w:p>
    <w:p w:rsidR="00B92FC3" w:rsidP="00336030" w:rsidRDefault="00B92FC3">
      <w:pPr>
        <w:shd w:val="clear" w:color="auto" w:fill="FFFFFF"/>
        <w:spacing w:after="0" w:line="240" w:lineRule="auto"/>
        <w:ind w:right="-46"/>
        <w:jc w:val="both"/>
        <w:rPr>
          <w:rFonts w:eastAsia="Arial Unicode MS" w:cs="Arial Unicode MS"/>
          <w:iCs/>
          <w:color w:val="000000" w:themeColor="text1"/>
          <w:lang w:val="en-AU" w:eastAsia="en-AU"/>
        </w:rPr>
      </w:pPr>
    </w:p>
    <w:p w:rsidRPr="00336030" w:rsidR="00B92FC3" w:rsidP="00336030" w:rsidRDefault="00B92FC3">
      <w:pPr>
        <w:shd w:val="clear" w:color="auto" w:fill="FFFFFF"/>
        <w:spacing w:after="0" w:line="240" w:lineRule="auto"/>
        <w:ind w:right="-46"/>
        <w:jc w:val="both"/>
        <w:rPr>
          <w:rFonts w:eastAsia="Arial Unicode MS" w:cs="Arial Unicode MS"/>
          <w:i/>
          <w:iCs/>
          <w:color w:val="000000" w:themeColor="text1"/>
          <w:lang w:val="en-AU" w:eastAsia="en-AU"/>
        </w:rPr>
      </w:pPr>
      <w:r>
        <w:rPr>
          <w:rFonts w:eastAsia="Arial Unicode MS" w:cs="Arial Unicode MS"/>
          <w:iCs/>
          <w:color w:val="000000" w:themeColor="text1"/>
          <w:lang w:val="en-AU" w:eastAsia="en-AU"/>
        </w:rPr>
        <w:t xml:space="preserve">Greene W.  </w:t>
      </w:r>
      <w:r w:rsidRPr="00B92FC3">
        <w:rPr>
          <w:rFonts w:eastAsia="Arial Unicode MS" w:cs="Arial Unicode MS"/>
          <w:i/>
          <w:iCs/>
          <w:color w:val="000000" w:themeColor="text1"/>
          <w:lang w:val="en-AU" w:eastAsia="en-AU"/>
        </w:rPr>
        <w:t>Econometric Analysis</w:t>
      </w:r>
      <w:r>
        <w:rPr>
          <w:rFonts w:eastAsia="Arial Unicode MS" w:cs="Arial Unicode MS"/>
          <w:iCs/>
          <w:color w:val="000000" w:themeColor="text1"/>
          <w:lang w:val="en-AU" w:eastAsia="en-AU"/>
        </w:rPr>
        <w:t xml:space="preserve"> (5</w:t>
      </w:r>
      <w:r w:rsidRPr="00B92FC3">
        <w:rPr>
          <w:rFonts w:eastAsia="Arial Unicode MS" w:cs="Arial Unicode MS"/>
          <w:iCs/>
          <w:color w:val="000000" w:themeColor="text1"/>
          <w:lang w:val="en-AU" w:eastAsia="en-AU"/>
        </w:rPr>
        <w:t>th</w:t>
      </w:r>
      <w:r>
        <w:rPr>
          <w:rFonts w:eastAsia="Arial Unicode MS" w:cs="Arial Unicode MS"/>
          <w:iCs/>
          <w:color w:val="000000" w:themeColor="text1"/>
          <w:lang w:val="en-AU" w:eastAsia="en-AU"/>
        </w:rPr>
        <w:t xml:space="preserve"> Edition), Prentice Hall: New Jersey, 2003.</w:t>
      </w:r>
    </w:p>
    <w:p w:rsidRPr="00336030" w:rsidR="00396A51" w:rsidP="00336030" w:rsidRDefault="00396A51">
      <w:pPr>
        <w:shd w:val="clear" w:color="auto" w:fill="FFFFFF"/>
        <w:spacing w:after="0" w:line="240" w:lineRule="auto"/>
        <w:ind w:right="540"/>
        <w:jc w:val="both"/>
        <w:rPr>
          <w:color w:val="000000" w:themeColor="text1"/>
        </w:rPr>
      </w:pPr>
    </w:p>
    <w:p w:rsidRPr="00336030" w:rsidR="00FD2ED6" w:rsidRDefault="00FD2ED6">
      <w:pPr>
        <w:spacing w:after="0" w:line="240" w:lineRule="auto"/>
        <w:jc w:val="both"/>
        <w:rPr>
          <w:color w:val="000000" w:themeColor="text1"/>
        </w:rPr>
      </w:pPr>
      <w:r w:rsidRPr="00336030">
        <w:rPr>
          <w:color w:val="000000" w:themeColor="text1"/>
        </w:rPr>
        <w:t xml:space="preserve">Hoare A. and Corver M. </w:t>
      </w:r>
      <w:r w:rsidRPr="00336030" w:rsidR="00E80401">
        <w:rPr>
          <w:color w:val="000000" w:themeColor="text1"/>
        </w:rPr>
        <w:t xml:space="preserve"> “</w:t>
      </w:r>
      <w:r w:rsidRPr="00336030">
        <w:rPr>
          <w:color w:val="000000" w:themeColor="text1"/>
        </w:rPr>
        <w:t>The Regional Geography of New Young Graduate Labour in the UK</w:t>
      </w:r>
      <w:r w:rsidRPr="00336030" w:rsidR="00E80401">
        <w:rPr>
          <w:color w:val="000000" w:themeColor="text1"/>
        </w:rPr>
        <w:t>”</w:t>
      </w:r>
      <w:r w:rsidRPr="00336030">
        <w:rPr>
          <w:color w:val="000000" w:themeColor="text1"/>
        </w:rPr>
        <w:t xml:space="preserve">, </w:t>
      </w:r>
      <w:r w:rsidRPr="00336030">
        <w:rPr>
          <w:i/>
          <w:color w:val="000000" w:themeColor="text1"/>
        </w:rPr>
        <w:t>Regional Studies,</w:t>
      </w:r>
      <w:r w:rsidRPr="00336030" w:rsidR="00E80401">
        <w:rPr>
          <w:i/>
          <w:color w:val="000000" w:themeColor="text1"/>
        </w:rPr>
        <w:t xml:space="preserve"> </w:t>
      </w:r>
      <w:r w:rsidRPr="00336030">
        <w:rPr>
          <w:color w:val="000000" w:themeColor="text1"/>
        </w:rPr>
        <w:t>44, 2010,</w:t>
      </w:r>
      <w:r w:rsidRPr="00336030" w:rsidR="00E80401">
        <w:rPr>
          <w:color w:val="000000" w:themeColor="text1"/>
        </w:rPr>
        <w:t xml:space="preserve"> </w:t>
      </w:r>
      <w:r w:rsidRPr="00336030">
        <w:rPr>
          <w:color w:val="000000" w:themeColor="text1"/>
        </w:rPr>
        <w:t>477-494.</w:t>
      </w:r>
    </w:p>
    <w:p w:rsidR="00FD2ED6" w:rsidP="00312C93" w:rsidRDefault="00FD2ED6">
      <w:pPr>
        <w:spacing w:after="0" w:line="240" w:lineRule="auto"/>
        <w:jc w:val="both"/>
      </w:pPr>
    </w:p>
    <w:p w:rsidR="00FD2ED6" w:rsidP="00312C93" w:rsidRDefault="00FD2ED6">
      <w:pPr>
        <w:spacing w:after="0" w:line="240" w:lineRule="auto"/>
        <w:jc w:val="both"/>
      </w:pPr>
      <w:r>
        <w:t>Jewell S. and Faggian A.</w:t>
      </w:r>
      <w:r w:rsidR="00E80401">
        <w:t xml:space="preserve"> “</w:t>
      </w:r>
      <w:r>
        <w:t xml:space="preserve"> Inter-regional Migration Wage Premia; The Case of Creative and Science and Technology Graduates in the UK</w:t>
      </w:r>
      <w:r w:rsidR="00E80401">
        <w:t>”</w:t>
      </w:r>
      <w:r>
        <w:t xml:space="preserve">, in Kourtit K., Nijkamp P. and Stimson K., editors, </w:t>
      </w:r>
      <w:r>
        <w:rPr>
          <w:i/>
        </w:rPr>
        <w:t xml:space="preserve">Applied Modelling of Regional Growth and Innovation Systems, </w:t>
      </w:r>
      <w:r>
        <w:t>Advances in Spatial Sciences, Springer, 2014, 197-216.</w:t>
      </w:r>
    </w:p>
    <w:p w:rsidR="00AD0534" w:rsidRDefault="00AD0534">
      <w:pPr>
        <w:pStyle w:val="Header"/>
        <w:jc w:val="both"/>
      </w:pPr>
    </w:p>
    <w:p w:rsidR="00895236" w:rsidRDefault="00895236">
      <w:pPr>
        <w:pStyle w:val="Header"/>
        <w:jc w:val="both"/>
      </w:pPr>
      <w:r>
        <w:t xml:space="preserve">Kitchen S., Lloyd C., Vignoles A. and Finch S. </w:t>
      </w:r>
      <w:r w:rsidRPr="00017565">
        <w:rPr>
          <w:i/>
        </w:rPr>
        <w:t>Destination of Leavers from Higher Education, Comparative Report</w:t>
      </w:r>
      <w:r>
        <w:t>, National Centre for Social Research, February 2008.</w:t>
      </w:r>
    </w:p>
    <w:p w:rsidR="00895236" w:rsidRDefault="00895236">
      <w:pPr>
        <w:pStyle w:val="Header"/>
        <w:jc w:val="both"/>
      </w:pPr>
    </w:p>
    <w:p w:rsidR="00FD2ED6" w:rsidP="001734E9" w:rsidRDefault="00FD2ED6">
      <w:pPr>
        <w:pStyle w:val="Header"/>
        <w:jc w:val="both"/>
        <w:outlineLvl w:val="0"/>
      </w:pPr>
      <w:r>
        <w:t xml:space="preserve">Koenker  R. and Bassett G. “Regression Quantiles”,  </w:t>
      </w:r>
      <w:r>
        <w:rPr>
          <w:i/>
        </w:rPr>
        <w:t>Econometrica,</w:t>
      </w:r>
      <w:r>
        <w:t xml:space="preserve"> 46,</w:t>
      </w:r>
      <w:r w:rsidR="00B36283">
        <w:t xml:space="preserve"> </w:t>
      </w:r>
      <w:r>
        <w:t>1978,</w:t>
      </w:r>
      <w:r w:rsidR="00B36283">
        <w:t xml:space="preserve"> </w:t>
      </w:r>
      <w:r>
        <w:t>33-50.</w:t>
      </w:r>
    </w:p>
    <w:p w:rsidR="00FD2ED6" w:rsidRDefault="00FD2ED6">
      <w:pPr>
        <w:pStyle w:val="Header"/>
        <w:jc w:val="both"/>
      </w:pPr>
    </w:p>
    <w:p w:rsidR="00D90BF5" w:rsidRDefault="00D90BF5">
      <w:pPr>
        <w:pStyle w:val="Header"/>
        <w:jc w:val="both"/>
      </w:pPr>
      <w:r>
        <w:t xml:space="preserve">Machado J. and Mata J, </w:t>
      </w:r>
      <w:r w:rsidR="00BA3D97">
        <w:t>“</w:t>
      </w:r>
      <w:r>
        <w:t>Counterfactual Decompositions of Changes in Wage Distributions Using Quantile Regressions</w:t>
      </w:r>
      <w:r w:rsidR="00BA3D97">
        <w:t>”</w:t>
      </w:r>
      <w:r>
        <w:t xml:space="preserve">, </w:t>
      </w:r>
      <w:r>
        <w:rPr>
          <w:i/>
        </w:rPr>
        <w:t>Journal of Applied Econometrics,</w:t>
      </w:r>
      <w:r w:rsidR="00C9791B">
        <w:t xml:space="preserve"> 20</w:t>
      </w:r>
      <w:r>
        <w:t xml:space="preserve">, 2005, 445-465. </w:t>
      </w:r>
    </w:p>
    <w:p w:rsidR="00D90BF5" w:rsidRDefault="00D90BF5">
      <w:pPr>
        <w:pStyle w:val="Header"/>
        <w:jc w:val="both"/>
      </w:pPr>
    </w:p>
    <w:p w:rsidRPr="00793AAD" w:rsidR="00D90BF5" w:rsidRDefault="00D90BF5">
      <w:pPr>
        <w:pStyle w:val="Header"/>
        <w:jc w:val="both"/>
      </w:pPr>
      <w:r>
        <w:t xml:space="preserve">Mellander C., Florida R. and Stolarick  K. </w:t>
      </w:r>
      <w:r w:rsidR="00BA3D97">
        <w:t>“</w:t>
      </w:r>
      <w:r>
        <w:t xml:space="preserve">Here to Stay: The Effects of Community Satisfaction on </w:t>
      </w:r>
      <w:r w:rsidRPr="00C9791B">
        <w:t>the</w:t>
      </w:r>
      <w:r>
        <w:t xml:space="preserve"> Decision to Stay</w:t>
      </w:r>
      <w:r w:rsidR="00BA3D97">
        <w:t>”</w:t>
      </w:r>
      <w:r w:rsidRPr="00793AAD">
        <w:rPr>
          <w:i/>
        </w:rPr>
        <w:t>, Spatial Economic Analysis,</w:t>
      </w:r>
      <w:r w:rsidR="00BA3D97">
        <w:rPr>
          <w:i/>
        </w:rPr>
        <w:t xml:space="preserve"> </w:t>
      </w:r>
      <w:r w:rsidR="00C9791B">
        <w:t>6</w:t>
      </w:r>
      <w:r>
        <w:t>,</w:t>
      </w:r>
      <w:r w:rsidR="00C9791B">
        <w:t xml:space="preserve"> </w:t>
      </w:r>
      <w:r>
        <w:t>2011,</w:t>
      </w:r>
      <w:r w:rsidR="00C9791B">
        <w:t xml:space="preserve"> </w:t>
      </w:r>
      <w:r>
        <w:t>5-24.</w:t>
      </w:r>
    </w:p>
    <w:p w:rsidR="00D90BF5" w:rsidRDefault="00D90BF5">
      <w:pPr>
        <w:pStyle w:val="Header"/>
        <w:jc w:val="both"/>
      </w:pPr>
    </w:p>
    <w:p w:rsidRPr="00663FB6" w:rsidR="00D90BF5" w:rsidRDefault="00D90BF5">
      <w:pPr>
        <w:pStyle w:val="Header"/>
        <w:jc w:val="both"/>
      </w:pPr>
      <w:r>
        <w:t xml:space="preserve">Melly B. </w:t>
      </w:r>
      <w:r w:rsidRPr="00662952">
        <w:rPr>
          <w:i/>
        </w:rPr>
        <w:t>Rqdeco: a Stata Module to Decompose Differences in Distribution</w:t>
      </w:r>
      <w:r>
        <w:t xml:space="preserve">, </w:t>
      </w:r>
      <w:r w:rsidRPr="00F30542">
        <w:rPr>
          <w:i/>
        </w:rPr>
        <w:t>mimeo</w:t>
      </w:r>
      <w:r>
        <w:t>, University of St Gallen, 2007.</w:t>
      </w:r>
    </w:p>
    <w:p w:rsidR="00D90BF5" w:rsidRDefault="00D90BF5">
      <w:pPr>
        <w:pStyle w:val="Header"/>
        <w:jc w:val="both"/>
      </w:pPr>
    </w:p>
    <w:p w:rsidR="002E5B01" w:rsidP="001734E9" w:rsidRDefault="002E5B01">
      <w:pPr>
        <w:pStyle w:val="Header"/>
        <w:jc w:val="both"/>
        <w:outlineLvl w:val="0"/>
      </w:pPr>
      <w:r>
        <w:t xml:space="preserve">Mincer J. </w:t>
      </w:r>
      <w:r w:rsidRPr="00E37576">
        <w:rPr>
          <w:i/>
        </w:rPr>
        <w:t>Schooling, Experience and  Earnings</w:t>
      </w:r>
      <w:r>
        <w:t>, NBER: New York, 1974.</w:t>
      </w:r>
    </w:p>
    <w:p w:rsidR="002E5B01" w:rsidRDefault="002E5B01">
      <w:pPr>
        <w:pStyle w:val="Header"/>
        <w:jc w:val="both"/>
      </w:pPr>
    </w:p>
    <w:p w:rsidR="00FD2ED6" w:rsidP="00312C93" w:rsidRDefault="00FD2ED6">
      <w:pPr>
        <w:spacing w:after="0" w:line="240" w:lineRule="auto"/>
        <w:jc w:val="both"/>
      </w:pPr>
      <w:r>
        <w:t xml:space="preserve">Mosca I. and Wright R., National and International Migration Flows, </w:t>
      </w:r>
      <w:r>
        <w:rPr>
          <w:i/>
        </w:rPr>
        <w:t>Population Trends</w:t>
      </w:r>
      <w:r>
        <w:t>, 141, 2010, 36-53.</w:t>
      </w:r>
    </w:p>
    <w:p w:rsidR="00895236" w:rsidP="00312C93" w:rsidRDefault="00895236">
      <w:pPr>
        <w:spacing w:after="0" w:line="240" w:lineRule="auto"/>
        <w:jc w:val="both"/>
      </w:pPr>
    </w:p>
    <w:p w:rsidR="00895236" w:rsidP="00312C93" w:rsidRDefault="00BC3FE3">
      <w:pPr>
        <w:spacing w:after="0" w:line="240" w:lineRule="auto"/>
        <w:jc w:val="both"/>
      </w:pPr>
      <w:r>
        <w:t>Murphy-Lejeu</w:t>
      </w:r>
      <w:r w:rsidR="00895236">
        <w:t xml:space="preserve">ne E. </w:t>
      </w:r>
      <w:r w:rsidRPr="00017565" w:rsidR="00895236">
        <w:rPr>
          <w:i/>
        </w:rPr>
        <w:t>Student Mobility and Narrative in Europe: The New Strangers</w:t>
      </w:r>
      <w:r w:rsidR="00895236">
        <w:t>, Routledge: London, 2002.</w:t>
      </w:r>
    </w:p>
    <w:p w:rsidR="00CA7C0D" w:rsidP="00312C93" w:rsidRDefault="00CA7C0D">
      <w:pPr>
        <w:spacing w:after="0" w:line="240" w:lineRule="auto"/>
        <w:jc w:val="both"/>
      </w:pPr>
    </w:p>
    <w:p w:rsidR="009B3331" w:rsidP="00CA7C0D" w:rsidRDefault="00CA7C0D">
      <w:pPr>
        <w:pStyle w:val="Header"/>
        <w:jc w:val="both"/>
      </w:pPr>
      <w:r>
        <w:t xml:space="preserve">Naylor R., Smith J. and McKnight A. </w:t>
      </w:r>
      <w:r w:rsidRPr="00662952">
        <w:rPr>
          <w:i/>
        </w:rPr>
        <w:t>Determinants of Occupational Earnings: Evidence for the 1993 UK University Graduate Population from the University Student Record</w:t>
      </w:r>
      <w:r>
        <w:t xml:space="preserve">, </w:t>
      </w:r>
      <w:r w:rsidRPr="00643D05">
        <w:rPr>
          <w:i/>
        </w:rPr>
        <w:t>mimeo</w:t>
      </w:r>
      <w:r>
        <w:t>, University of Warwick, 1998.</w:t>
      </w:r>
    </w:p>
    <w:p w:rsidR="00AD0534" w:rsidRDefault="00AD0534">
      <w:pPr>
        <w:pStyle w:val="Header"/>
        <w:jc w:val="both"/>
      </w:pPr>
    </w:p>
    <w:p w:rsidR="00D90BF5" w:rsidRDefault="00D90BF5">
      <w:pPr>
        <w:pStyle w:val="Header"/>
        <w:jc w:val="both"/>
      </w:pPr>
      <w:r>
        <w:t xml:space="preserve">O’Leary N. and Sloane P. </w:t>
      </w:r>
      <w:r w:rsidR="00BA3D97">
        <w:t>“</w:t>
      </w:r>
      <w:r>
        <w:t>The Return to a University Education in Great Britain</w:t>
      </w:r>
      <w:r w:rsidR="00BA3D97">
        <w:t>”</w:t>
      </w:r>
      <w:r>
        <w:t xml:space="preserve">, </w:t>
      </w:r>
      <w:r>
        <w:rPr>
          <w:i/>
        </w:rPr>
        <w:t>National Institute Economic Review,</w:t>
      </w:r>
      <w:r w:rsidR="003B43CF">
        <w:t xml:space="preserve"> 193</w:t>
      </w:r>
      <w:r>
        <w:t>, 2005, 75-89.</w:t>
      </w:r>
    </w:p>
    <w:p w:rsidR="00D90BF5" w:rsidRDefault="00D90BF5">
      <w:pPr>
        <w:pStyle w:val="Header"/>
        <w:jc w:val="both"/>
      </w:pPr>
      <w:r>
        <w:lastRenderedPageBreak/>
        <w:t xml:space="preserve">O’Leary N. and Sloane P. </w:t>
      </w:r>
      <w:r w:rsidR="00BA3D97">
        <w:t>“</w:t>
      </w:r>
      <w:r>
        <w:t xml:space="preserve">Rates of </w:t>
      </w:r>
      <w:r w:rsidRPr="00854FD6">
        <w:t>Return</w:t>
      </w:r>
      <w:r>
        <w:t xml:space="preserve"> to Degrees across British Regions</w:t>
      </w:r>
      <w:r w:rsidR="00BA3D97">
        <w:t>”</w:t>
      </w:r>
      <w:r>
        <w:t xml:space="preserve">, </w:t>
      </w:r>
      <w:r>
        <w:rPr>
          <w:i/>
        </w:rPr>
        <w:t>Regional Studies,</w:t>
      </w:r>
      <w:r w:rsidR="00C9791B">
        <w:t xml:space="preserve"> 42</w:t>
      </w:r>
      <w:r>
        <w:t>, 2008, 199-213.</w:t>
      </w:r>
    </w:p>
    <w:p w:rsidR="0028408D" w:rsidRDefault="0028408D">
      <w:pPr>
        <w:pStyle w:val="Header"/>
        <w:jc w:val="both"/>
      </w:pPr>
    </w:p>
    <w:p w:rsidRPr="0028408D" w:rsidR="0028408D" w:rsidRDefault="0028408D">
      <w:pPr>
        <w:pStyle w:val="Header"/>
        <w:jc w:val="both"/>
      </w:pPr>
      <w:r w:rsidRPr="0028408D">
        <w:t xml:space="preserve">O’Leary N. and Sloane P. “Too Many Graduates? An Application of the Gottschalk-Hansen Model to Young British Graduates between 2001-2010”, </w:t>
      </w:r>
      <w:r w:rsidRPr="0028408D">
        <w:rPr>
          <w:i/>
        </w:rPr>
        <w:t>Oxford Economic Papers</w:t>
      </w:r>
      <w:r w:rsidRPr="00095648">
        <w:t xml:space="preserve">, </w:t>
      </w:r>
      <w:r w:rsidRPr="00095648" w:rsidR="00095648">
        <w:t>2016</w:t>
      </w:r>
      <w:r w:rsidR="003B43CF">
        <w:t>, 64</w:t>
      </w:r>
      <w:r w:rsidR="00B76804">
        <w:t>, 945-967.</w:t>
      </w:r>
    </w:p>
    <w:p w:rsidRPr="0028408D" w:rsidR="00D8356E" w:rsidRDefault="00D8356E">
      <w:pPr>
        <w:pStyle w:val="Header"/>
        <w:jc w:val="both"/>
      </w:pPr>
    </w:p>
    <w:p w:rsidR="00FD2ED6" w:rsidP="00312C93" w:rsidRDefault="00FD2ED6">
      <w:pPr>
        <w:spacing w:after="0" w:line="240" w:lineRule="auto"/>
        <w:jc w:val="both"/>
      </w:pPr>
      <w:r>
        <w:t xml:space="preserve">Oreopoulos T., von Wachter T. and Heisz A., </w:t>
      </w:r>
      <w:r w:rsidR="001E710C">
        <w:t>“</w:t>
      </w:r>
      <w:r>
        <w:t>The Long and Short Term Effects of Graduating in a Recession</w:t>
      </w:r>
      <w:r w:rsidR="001E710C">
        <w:t>”</w:t>
      </w:r>
      <w:r>
        <w:t xml:space="preserve">, </w:t>
      </w:r>
      <w:r w:rsidR="001E710C">
        <w:rPr>
          <w:i/>
        </w:rPr>
        <w:t xml:space="preserve">American Economic Journal: </w:t>
      </w:r>
      <w:r>
        <w:rPr>
          <w:i/>
        </w:rPr>
        <w:t>Applied Economics</w:t>
      </w:r>
      <w:r>
        <w:t>, 4</w:t>
      </w:r>
      <w:r w:rsidR="002E5B01">
        <w:t xml:space="preserve">, </w:t>
      </w:r>
      <w:r>
        <w:t>2012, 1-29</w:t>
      </w:r>
      <w:r w:rsidR="003B43CF">
        <w:t>.</w:t>
      </w:r>
    </w:p>
    <w:p w:rsidR="00AD0534" w:rsidP="00312C93" w:rsidRDefault="00AD0534">
      <w:pPr>
        <w:spacing w:after="0" w:line="240" w:lineRule="auto"/>
        <w:jc w:val="both"/>
      </w:pPr>
    </w:p>
    <w:p w:rsidR="00FD2ED6" w:rsidP="00312C93" w:rsidRDefault="00FD2ED6">
      <w:pPr>
        <w:spacing w:after="0" w:line="240" w:lineRule="auto"/>
        <w:jc w:val="both"/>
      </w:pPr>
      <w:r>
        <w:t xml:space="preserve">Osborne R., Cormack R. and Miller R., editors, </w:t>
      </w:r>
      <w:r w:rsidRPr="00FF75D5">
        <w:rPr>
          <w:i/>
        </w:rPr>
        <w:t>Education and Policy in Northern Ireland</w:t>
      </w:r>
      <w:r>
        <w:t>, Policy Research Institute</w:t>
      </w:r>
      <w:r w:rsidR="002E5B01">
        <w:t>:</w:t>
      </w:r>
      <w:r w:rsidR="00947DD3">
        <w:t xml:space="preserve"> </w:t>
      </w:r>
      <w:r>
        <w:t>Belfast,</w:t>
      </w:r>
      <w:r w:rsidR="00947DD3">
        <w:t xml:space="preserve"> </w:t>
      </w:r>
      <w:r>
        <w:t>1987.</w:t>
      </w:r>
    </w:p>
    <w:p w:rsidR="00AD0534" w:rsidRDefault="00AD0534">
      <w:pPr>
        <w:pStyle w:val="Header"/>
        <w:jc w:val="both"/>
      </w:pPr>
    </w:p>
    <w:p w:rsidR="00A47730" w:rsidRDefault="00BD19D0">
      <w:pPr>
        <w:pStyle w:val="Header"/>
        <w:jc w:val="both"/>
      </w:pPr>
      <w:r>
        <w:t xml:space="preserve">Pirog D. </w:t>
      </w:r>
      <w:r w:rsidR="00BA3D97">
        <w:t>“</w:t>
      </w:r>
      <w:r>
        <w:t>Job Search Strategies of Recent University Graduates in Poland: Plans and Effectiveness</w:t>
      </w:r>
      <w:r w:rsidR="00BA3D97">
        <w:t>”</w:t>
      </w:r>
      <w:r>
        <w:t xml:space="preserve">, </w:t>
      </w:r>
      <w:r w:rsidRPr="00BD19D0">
        <w:rPr>
          <w:i/>
        </w:rPr>
        <w:t>Higher Education</w:t>
      </w:r>
      <w:r w:rsidR="001E710C">
        <w:t>, 71, 2016, 557-573</w:t>
      </w:r>
      <w:r w:rsidR="00BA3D97">
        <w:t>.</w:t>
      </w:r>
    </w:p>
    <w:p w:rsidR="006D1B95" w:rsidRDefault="006D1B95">
      <w:pPr>
        <w:pStyle w:val="Header"/>
        <w:jc w:val="both"/>
      </w:pPr>
    </w:p>
    <w:p w:rsidR="006D1B95" w:rsidRDefault="006D1B95">
      <w:pPr>
        <w:pStyle w:val="Header"/>
        <w:jc w:val="both"/>
      </w:pPr>
      <w:r>
        <w:t xml:space="preserve">Shindo Y. “The Effect of Education Subsidies on Regional Economic Growth and Disparities in China”, </w:t>
      </w:r>
      <w:r w:rsidRPr="00C25766">
        <w:rPr>
          <w:i/>
        </w:rPr>
        <w:t>Economic Modelling</w:t>
      </w:r>
      <w:r>
        <w:t>, 27, 2010, 1061-1068.</w:t>
      </w:r>
    </w:p>
    <w:p w:rsidR="00A47730" w:rsidP="001734E9" w:rsidRDefault="00A47730">
      <w:pPr>
        <w:spacing w:after="0" w:line="240" w:lineRule="auto"/>
        <w:jc w:val="both"/>
        <w:outlineLvl w:val="0"/>
      </w:pPr>
    </w:p>
    <w:p w:rsidR="00FD2ED6" w:rsidP="001734E9" w:rsidRDefault="00FD2ED6">
      <w:pPr>
        <w:spacing w:after="0" w:line="240" w:lineRule="auto"/>
        <w:jc w:val="both"/>
        <w:outlineLvl w:val="0"/>
      </w:pPr>
      <w:r>
        <w:t xml:space="preserve">Sloane P.,  Latreille P. and  O’Leary N. </w:t>
      </w:r>
      <w:r w:rsidRPr="00C8053E">
        <w:rPr>
          <w:i/>
        </w:rPr>
        <w:t>Modern Labour Economics</w:t>
      </w:r>
      <w:r>
        <w:t>, Routledge: London, 2013.</w:t>
      </w:r>
    </w:p>
    <w:p w:rsidR="00AD0534" w:rsidRDefault="00AD0534">
      <w:pPr>
        <w:pStyle w:val="Header"/>
        <w:jc w:val="both"/>
      </w:pPr>
    </w:p>
    <w:p w:rsidRPr="00793AAD" w:rsidR="00D90BF5" w:rsidRDefault="00D90BF5">
      <w:pPr>
        <w:pStyle w:val="Header"/>
        <w:jc w:val="both"/>
      </w:pPr>
      <w:r>
        <w:t xml:space="preserve">Venhorst V., Van Dijk J. and Van Wissen L. </w:t>
      </w:r>
      <w:r w:rsidR="00BA3D97">
        <w:t>“</w:t>
      </w:r>
      <w:r>
        <w:t>An Analysis of Trends in Spatial Mobility of Dutch Graduates</w:t>
      </w:r>
      <w:r w:rsidR="00BA3D97">
        <w:t>”</w:t>
      </w:r>
      <w:r>
        <w:t xml:space="preserve">, </w:t>
      </w:r>
      <w:r>
        <w:rPr>
          <w:i/>
        </w:rPr>
        <w:t>Spatial Economic Analysis</w:t>
      </w:r>
      <w:r w:rsidR="00C9791B">
        <w:t>, 6</w:t>
      </w:r>
      <w:r>
        <w:t xml:space="preserve">, 2011, 57-82. </w:t>
      </w:r>
    </w:p>
    <w:p w:rsidR="00D90BF5" w:rsidRDefault="00D90BF5">
      <w:pPr>
        <w:pStyle w:val="Header"/>
        <w:jc w:val="both"/>
      </w:pPr>
    </w:p>
    <w:p w:rsidR="00D90BF5" w:rsidRDefault="00D90BF5">
      <w:pPr>
        <w:pStyle w:val="Header"/>
        <w:jc w:val="both"/>
      </w:pPr>
      <w:r>
        <w:t xml:space="preserve">Walker I. and Zhu Y. </w:t>
      </w:r>
      <w:r w:rsidR="00BA3D97">
        <w:t>“</w:t>
      </w:r>
      <w:r>
        <w:t>Differences by Degree: Evidence of the Net Financial Rates of Return to Undergraduate Study for England and Wales</w:t>
      </w:r>
      <w:r w:rsidR="00BA3D97">
        <w:t>”</w:t>
      </w:r>
      <w:r>
        <w:t xml:space="preserve">, </w:t>
      </w:r>
      <w:r>
        <w:rPr>
          <w:i/>
        </w:rPr>
        <w:t>Economics of Education Review</w:t>
      </w:r>
      <w:r w:rsidR="00C9791B">
        <w:t>, 30, 2011, 177-</w:t>
      </w:r>
      <w:r>
        <w:t>186.</w:t>
      </w:r>
    </w:p>
    <w:p w:rsidR="00D90BF5" w:rsidRDefault="00D90BF5">
      <w:pPr>
        <w:pStyle w:val="Header"/>
        <w:jc w:val="both"/>
      </w:pPr>
    </w:p>
    <w:p w:rsidR="00D90BF5" w:rsidRDefault="00D90BF5">
      <w:pPr>
        <w:pStyle w:val="Header"/>
        <w:jc w:val="both"/>
      </w:pPr>
      <w:r>
        <w:t xml:space="preserve">Winters J. </w:t>
      </w:r>
      <w:r w:rsidR="00BA3D97">
        <w:t>“</w:t>
      </w:r>
      <w:r>
        <w:t>Differences in Employment Outcomes for College Town Stayers and Leavers</w:t>
      </w:r>
      <w:r w:rsidR="00BA3D97">
        <w:t>”</w:t>
      </w:r>
      <w:r>
        <w:t xml:space="preserve">, </w:t>
      </w:r>
      <w:r>
        <w:rPr>
          <w:i/>
        </w:rPr>
        <w:t>IZA Journal of Migration,</w:t>
      </w:r>
      <w:r>
        <w:t xml:space="preserve"> 1-11, 2012.</w:t>
      </w:r>
    </w:p>
    <w:p w:rsidR="002E5B01" w:rsidRDefault="002E5B01">
      <w:pPr>
        <w:pStyle w:val="Header"/>
        <w:jc w:val="both"/>
      </w:pPr>
    </w:p>
    <w:p w:rsidRPr="008D5A05" w:rsidR="002E5B01" w:rsidRDefault="002E5B01">
      <w:pPr>
        <w:pStyle w:val="Header"/>
        <w:jc w:val="both"/>
      </w:pPr>
      <w:r>
        <w:t xml:space="preserve">Wright J. </w:t>
      </w:r>
      <w:r w:rsidRPr="00E37576">
        <w:rPr>
          <w:i/>
        </w:rPr>
        <w:t xml:space="preserve">Cutting the Apron Strings? The Clustering </w:t>
      </w:r>
      <w:r w:rsidRPr="00E37576" w:rsidR="003615D9">
        <w:rPr>
          <w:i/>
        </w:rPr>
        <w:t>of Young Graduates and the Role of the Public Sector</w:t>
      </w:r>
      <w:r w:rsidR="003615D9">
        <w:t>, A Cities 2020 Research Paper, The Work Foundation, February, 2011.</w:t>
      </w:r>
    </w:p>
    <w:p w:rsidR="00D90BF5" w:rsidRDefault="00D90BF5">
      <w:pPr>
        <w:pStyle w:val="Header"/>
        <w:jc w:val="both"/>
      </w:pPr>
    </w:p>
    <w:p w:rsidR="00D54E5A" w:rsidP="00312C93" w:rsidRDefault="00D54E5A">
      <w:pPr>
        <w:spacing w:after="0" w:line="240" w:lineRule="auto"/>
        <w:jc w:val="both"/>
      </w:pPr>
    </w:p>
    <w:p w:rsidR="00A51243" w:rsidRDefault="00A51243">
      <w:r>
        <w:br w:type="page"/>
      </w:r>
    </w:p>
    <w:p w:rsidRPr="00C02B22" w:rsidR="007912B2" w:rsidP="007912B2" w:rsidRDefault="007912B2">
      <w:pPr>
        <w:spacing w:after="0" w:line="240" w:lineRule="auto"/>
        <w:jc w:val="center"/>
        <w:rPr>
          <w:b/>
        </w:rPr>
      </w:pPr>
      <w:r>
        <w:rPr>
          <w:b/>
        </w:rPr>
        <w:lastRenderedPageBreak/>
        <w:t>Appendix Table 1</w:t>
      </w:r>
    </w:p>
    <w:p w:rsidR="007912B2" w:rsidP="001734E9" w:rsidRDefault="007912B2">
      <w:pPr>
        <w:spacing w:after="0" w:line="240" w:lineRule="auto"/>
        <w:jc w:val="center"/>
        <w:outlineLvl w:val="0"/>
        <w:rPr>
          <w:b/>
        </w:rPr>
      </w:pPr>
      <w:r>
        <w:rPr>
          <w:b/>
        </w:rPr>
        <w:t xml:space="preserve">Marginal Effects </w:t>
      </w:r>
      <w:r w:rsidR="002631D3">
        <w:rPr>
          <w:b/>
        </w:rPr>
        <w:t xml:space="preserve">on Earnings </w:t>
      </w:r>
      <w:r>
        <w:rPr>
          <w:b/>
        </w:rPr>
        <w:t>of Joint Decision to Move from Home Domicile to University (</w:t>
      </w:r>
      <w:r w:rsidRPr="00DF1498">
        <w:rPr>
          <w:b/>
          <w:i/>
        </w:rPr>
        <w:t>I</w:t>
      </w:r>
      <w:r w:rsidRPr="00DF1498">
        <w:rPr>
          <w:b/>
          <w:i/>
          <w:vertAlign w:val="subscript"/>
        </w:rPr>
        <w:t>1</w:t>
      </w:r>
      <w:r>
        <w:rPr>
          <w:b/>
        </w:rPr>
        <w:t>)</w:t>
      </w:r>
    </w:p>
    <w:p w:rsidRPr="00C02B22" w:rsidR="007912B2" w:rsidP="007912B2" w:rsidRDefault="007912B2">
      <w:pPr>
        <w:spacing w:after="0" w:line="240" w:lineRule="auto"/>
        <w:jc w:val="center"/>
        <w:rPr>
          <w:b/>
        </w:rPr>
      </w:pPr>
      <w:r>
        <w:rPr>
          <w:b/>
        </w:rPr>
        <w:t>and from University to Work (</w:t>
      </w:r>
      <w:r w:rsidRPr="00DF1498">
        <w:rPr>
          <w:b/>
          <w:i/>
        </w:rPr>
        <w:t>I</w:t>
      </w:r>
      <w:r w:rsidRPr="00DF1498">
        <w:rPr>
          <w:b/>
          <w:i/>
          <w:vertAlign w:val="subscript"/>
        </w:rPr>
        <w:t>2</w:t>
      </w:r>
      <w:r>
        <w:rPr>
          <w:b/>
        </w:rPr>
        <w:t>) by Movement Threshold</w:t>
      </w:r>
    </w:p>
    <w:p w:rsidR="007912B2" w:rsidP="007912B2" w:rsidRDefault="007912B2">
      <w:pPr>
        <w:spacing w:after="0" w:line="240" w:lineRule="auto"/>
      </w:pPr>
    </w:p>
    <w:tbl>
      <w:tblPr>
        <w:tblStyle w:val="TableGrid"/>
        <w:tblW w:w="9628" w:type="dxa"/>
        <w:jc w:val="center"/>
        <w:tblLayout w:type="fixed"/>
        <w:tblLook w:val="04A0" w:firstRow="1" w:lastRow="0" w:firstColumn="1" w:lastColumn="0" w:noHBand="0" w:noVBand="1"/>
      </w:tblPr>
      <w:tblGrid>
        <w:gridCol w:w="3397"/>
        <w:gridCol w:w="1026"/>
        <w:gridCol w:w="1063"/>
        <w:gridCol w:w="38"/>
        <w:gridCol w:w="1026"/>
        <w:gridCol w:w="1026"/>
        <w:gridCol w:w="1026"/>
        <w:gridCol w:w="1026"/>
      </w:tblGrid>
      <w:tr w:rsidR="007912B2" w:rsidTr="006D4956">
        <w:trPr>
          <w:jc w:val="center"/>
        </w:trPr>
        <w:tc>
          <w:tcPr>
            <w:tcW w:w="3397" w:type="dxa"/>
            <w:tcBorders>
              <w:top w:val="nil"/>
              <w:left w:val="nil"/>
              <w:bottom w:val="nil"/>
            </w:tcBorders>
          </w:tcPr>
          <w:p w:rsidR="007912B2" w:rsidP="006D4956" w:rsidRDefault="007912B2"/>
        </w:tc>
        <w:tc>
          <w:tcPr>
            <w:tcW w:w="2127" w:type="dxa"/>
            <w:gridSpan w:val="3"/>
          </w:tcPr>
          <w:p w:rsidR="007912B2" w:rsidP="006D4956" w:rsidRDefault="007912B2">
            <w:pPr>
              <w:jc w:val="center"/>
              <w:rPr>
                <w:b/>
              </w:rPr>
            </w:pPr>
            <w:r>
              <w:rPr>
                <w:b/>
              </w:rPr>
              <w:t>25km</w:t>
            </w:r>
          </w:p>
        </w:tc>
        <w:tc>
          <w:tcPr>
            <w:tcW w:w="2052" w:type="dxa"/>
            <w:gridSpan w:val="2"/>
          </w:tcPr>
          <w:p w:rsidR="007912B2" w:rsidP="006D4956" w:rsidRDefault="007912B2">
            <w:pPr>
              <w:jc w:val="center"/>
              <w:rPr>
                <w:b/>
              </w:rPr>
            </w:pPr>
            <w:r>
              <w:rPr>
                <w:b/>
              </w:rPr>
              <w:t>50km</w:t>
            </w:r>
          </w:p>
        </w:tc>
        <w:tc>
          <w:tcPr>
            <w:tcW w:w="2052" w:type="dxa"/>
            <w:gridSpan w:val="2"/>
          </w:tcPr>
          <w:p w:rsidR="007912B2" w:rsidP="006D4956" w:rsidRDefault="007912B2">
            <w:pPr>
              <w:jc w:val="center"/>
              <w:rPr>
                <w:b/>
              </w:rPr>
            </w:pPr>
            <w:r>
              <w:rPr>
                <w:b/>
              </w:rPr>
              <w:t>100km</w:t>
            </w:r>
          </w:p>
        </w:tc>
      </w:tr>
      <w:tr w:rsidR="007912B2" w:rsidTr="006D4956">
        <w:trPr>
          <w:jc w:val="center"/>
        </w:trPr>
        <w:tc>
          <w:tcPr>
            <w:tcW w:w="3397" w:type="dxa"/>
            <w:tcBorders>
              <w:top w:val="nil"/>
              <w:left w:val="nil"/>
            </w:tcBorders>
          </w:tcPr>
          <w:p w:rsidR="007912B2" w:rsidP="006D4956" w:rsidRDefault="007912B2"/>
        </w:tc>
        <w:tc>
          <w:tcPr>
            <w:tcW w:w="1026" w:type="dxa"/>
          </w:tcPr>
          <w:p w:rsidRPr="0062721D" w:rsidR="007912B2" w:rsidP="006D4956" w:rsidRDefault="007912B2">
            <w:pPr>
              <w:jc w:val="center"/>
              <w:rPr>
                <w:b/>
              </w:rPr>
            </w:pPr>
            <w:r>
              <w:rPr>
                <w:b/>
              </w:rPr>
              <w:t xml:space="preserve">Univ - </w:t>
            </w:r>
            <w:r w:rsidRPr="00BB05AF">
              <w:rPr>
                <w:b/>
                <w:i/>
              </w:rPr>
              <w:t>I</w:t>
            </w:r>
            <w:r w:rsidRPr="00BB05AF">
              <w:rPr>
                <w:b/>
                <w:i/>
                <w:vertAlign w:val="subscript"/>
              </w:rPr>
              <w:t>1</w:t>
            </w:r>
          </w:p>
        </w:tc>
        <w:tc>
          <w:tcPr>
            <w:tcW w:w="1101" w:type="dxa"/>
            <w:gridSpan w:val="2"/>
          </w:tcPr>
          <w:p w:rsidRPr="0062721D" w:rsidR="007912B2" w:rsidP="006D4956" w:rsidRDefault="007912B2">
            <w:pPr>
              <w:jc w:val="center"/>
              <w:rPr>
                <w:b/>
              </w:rPr>
            </w:pPr>
            <w:r>
              <w:rPr>
                <w:b/>
              </w:rPr>
              <w:t xml:space="preserve">Work - </w:t>
            </w:r>
            <w:r w:rsidRPr="00BB05AF">
              <w:rPr>
                <w:b/>
                <w:i/>
              </w:rPr>
              <w:t>I</w:t>
            </w:r>
            <w:r w:rsidRPr="00BB05AF">
              <w:rPr>
                <w:b/>
                <w:i/>
                <w:vertAlign w:val="subscript"/>
              </w:rPr>
              <w:t>2</w:t>
            </w:r>
          </w:p>
        </w:tc>
        <w:tc>
          <w:tcPr>
            <w:tcW w:w="1026" w:type="dxa"/>
          </w:tcPr>
          <w:p w:rsidRPr="0062721D" w:rsidR="007912B2" w:rsidP="006D4956" w:rsidRDefault="007912B2">
            <w:pPr>
              <w:jc w:val="center"/>
              <w:rPr>
                <w:b/>
              </w:rPr>
            </w:pPr>
            <w:r>
              <w:rPr>
                <w:b/>
              </w:rPr>
              <w:t xml:space="preserve">Univ - </w:t>
            </w:r>
            <w:r w:rsidRPr="00BB05AF">
              <w:rPr>
                <w:b/>
                <w:i/>
              </w:rPr>
              <w:t>I</w:t>
            </w:r>
            <w:r w:rsidRPr="00BB05AF">
              <w:rPr>
                <w:b/>
                <w:i/>
                <w:vertAlign w:val="subscript"/>
              </w:rPr>
              <w:t>1</w:t>
            </w:r>
          </w:p>
        </w:tc>
        <w:tc>
          <w:tcPr>
            <w:tcW w:w="1026" w:type="dxa"/>
          </w:tcPr>
          <w:p w:rsidRPr="0062721D" w:rsidR="007912B2" w:rsidP="006D4956" w:rsidRDefault="007912B2">
            <w:pPr>
              <w:jc w:val="center"/>
              <w:rPr>
                <w:b/>
              </w:rPr>
            </w:pPr>
            <w:r>
              <w:rPr>
                <w:b/>
              </w:rPr>
              <w:t xml:space="preserve">Work - </w:t>
            </w:r>
            <w:r w:rsidRPr="00BB05AF">
              <w:rPr>
                <w:b/>
                <w:i/>
              </w:rPr>
              <w:t>I</w:t>
            </w:r>
            <w:r w:rsidRPr="00BB05AF">
              <w:rPr>
                <w:b/>
                <w:i/>
                <w:vertAlign w:val="subscript"/>
              </w:rPr>
              <w:t>2</w:t>
            </w:r>
          </w:p>
        </w:tc>
        <w:tc>
          <w:tcPr>
            <w:tcW w:w="1026" w:type="dxa"/>
          </w:tcPr>
          <w:p w:rsidR="007912B2" w:rsidP="006D4956" w:rsidRDefault="007912B2">
            <w:pPr>
              <w:jc w:val="center"/>
              <w:rPr>
                <w:b/>
              </w:rPr>
            </w:pPr>
            <w:r>
              <w:rPr>
                <w:b/>
              </w:rPr>
              <w:t xml:space="preserve">Univ - </w:t>
            </w:r>
            <w:r w:rsidRPr="00BB05AF">
              <w:rPr>
                <w:b/>
                <w:i/>
              </w:rPr>
              <w:t>I</w:t>
            </w:r>
            <w:r w:rsidRPr="00BB05AF">
              <w:rPr>
                <w:b/>
                <w:i/>
                <w:vertAlign w:val="subscript"/>
              </w:rPr>
              <w:t>1</w:t>
            </w:r>
          </w:p>
        </w:tc>
        <w:tc>
          <w:tcPr>
            <w:tcW w:w="1026" w:type="dxa"/>
          </w:tcPr>
          <w:p w:rsidR="007912B2" w:rsidP="006D4956" w:rsidRDefault="007912B2">
            <w:pPr>
              <w:jc w:val="center"/>
              <w:rPr>
                <w:b/>
              </w:rPr>
            </w:pPr>
            <w:r>
              <w:rPr>
                <w:b/>
              </w:rPr>
              <w:t xml:space="preserve">Work - </w:t>
            </w:r>
            <w:r w:rsidRPr="00BB05AF">
              <w:rPr>
                <w:b/>
                <w:i/>
              </w:rPr>
              <w:t>I</w:t>
            </w:r>
            <w:r w:rsidRPr="00BB05AF">
              <w:rPr>
                <w:b/>
                <w:i/>
                <w:vertAlign w:val="subscript"/>
              </w:rPr>
              <w:t>2</w:t>
            </w:r>
          </w:p>
        </w:tc>
      </w:tr>
      <w:tr w:rsidR="007912B2" w:rsidTr="006D4956">
        <w:trPr>
          <w:jc w:val="center"/>
        </w:trPr>
        <w:tc>
          <w:tcPr>
            <w:tcW w:w="3397" w:type="dxa"/>
          </w:tcPr>
          <w:p w:rsidR="007912B2" w:rsidP="006D4956" w:rsidRDefault="007912B2">
            <w:r>
              <w:t>Age at entry</w:t>
            </w:r>
          </w:p>
        </w:tc>
        <w:tc>
          <w:tcPr>
            <w:tcW w:w="1026" w:type="dxa"/>
          </w:tcPr>
          <w:p w:rsidR="007912B2" w:rsidP="006D4956" w:rsidRDefault="007912B2">
            <w:pPr>
              <w:jc w:val="right"/>
            </w:pPr>
            <w:r>
              <w:t>0.030</w:t>
            </w:r>
          </w:p>
        </w:tc>
        <w:tc>
          <w:tcPr>
            <w:tcW w:w="1101" w:type="dxa"/>
            <w:gridSpan w:val="2"/>
          </w:tcPr>
          <w:p w:rsidR="007912B2" w:rsidP="006D4956" w:rsidRDefault="007912B2">
            <w:pPr>
              <w:jc w:val="right"/>
            </w:pPr>
          </w:p>
        </w:tc>
        <w:tc>
          <w:tcPr>
            <w:tcW w:w="1026" w:type="dxa"/>
          </w:tcPr>
          <w:p w:rsidR="007912B2" w:rsidP="006D4956" w:rsidRDefault="007912B2">
            <w:pPr>
              <w:jc w:val="right"/>
            </w:pPr>
            <w:r>
              <w:t>0.100</w:t>
            </w:r>
            <w:r w:rsidRPr="00E77F6C">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r>
              <w:t>0.168</w:t>
            </w:r>
            <w:r w:rsidRPr="00AB5135">
              <w:rPr>
                <w:vertAlign w:val="superscript"/>
              </w:rPr>
              <w:t>+++</w:t>
            </w:r>
          </w:p>
        </w:tc>
        <w:tc>
          <w:tcPr>
            <w:tcW w:w="1026" w:type="dxa"/>
          </w:tcPr>
          <w:p w:rsidR="007912B2" w:rsidP="006D4956" w:rsidRDefault="007912B2">
            <w:pPr>
              <w:jc w:val="right"/>
            </w:pPr>
          </w:p>
        </w:tc>
      </w:tr>
      <w:tr w:rsidR="007912B2" w:rsidTr="006D4956">
        <w:trPr>
          <w:jc w:val="center"/>
        </w:trPr>
        <w:tc>
          <w:tcPr>
            <w:tcW w:w="3397" w:type="dxa"/>
          </w:tcPr>
          <w:p w:rsidR="007912B2" w:rsidP="006D4956" w:rsidRDefault="007912B2">
            <w:r>
              <w:t>Age at entry squared</w:t>
            </w:r>
          </w:p>
        </w:tc>
        <w:tc>
          <w:tcPr>
            <w:tcW w:w="1026" w:type="dxa"/>
          </w:tcPr>
          <w:p w:rsidR="007912B2" w:rsidP="006D4956" w:rsidRDefault="007912B2">
            <w:pPr>
              <w:jc w:val="right"/>
            </w:pPr>
            <w:r>
              <w:t>-0.001</w:t>
            </w:r>
          </w:p>
        </w:tc>
        <w:tc>
          <w:tcPr>
            <w:tcW w:w="1101" w:type="dxa"/>
            <w:gridSpan w:val="2"/>
          </w:tcPr>
          <w:p w:rsidR="007912B2" w:rsidP="006D4956" w:rsidRDefault="007912B2">
            <w:pPr>
              <w:jc w:val="right"/>
            </w:pPr>
          </w:p>
        </w:tc>
        <w:tc>
          <w:tcPr>
            <w:tcW w:w="1026" w:type="dxa"/>
          </w:tcPr>
          <w:p w:rsidR="007912B2" w:rsidP="006D4956" w:rsidRDefault="007912B2">
            <w:pPr>
              <w:jc w:val="right"/>
            </w:pPr>
            <w:r>
              <w:t>-0.003</w:t>
            </w:r>
            <w:r w:rsidRPr="00E77F6C">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r>
              <w:t>-0.005</w:t>
            </w:r>
            <w:r w:rsidRPr="00AB5135">
              <w:rPr>
                <w:vertAlign w:val="superscript"/>
              </w:rPr>
              <w:t>+++</w:t>
            </w:r>
          </w:p>
        </w:tc>
        <w:tc>
          <w:tcPr>
            <w:tcW w:w="1026" w:type="dxa"/>
          </w:tcPr>
          <w:p w:rsidR="007912B2" w:rsidP="006D4956" w:rsidRDefault="007912B2">
            <w:pPr>
              <w:jc w:val="right"/>
            </w:pPr>
          </w:p>
        </w:tc>
      </w:tr>
      <w:tr w:rsidR="007912B2" w:rsidTr="006D4956">
        <w:trPr>
          <w:jc w:val="center"/>
        </w:trPr>
        <w:tc>
          <w:tcPr>
            <w:tcW w:w="3397" w:type="dxa"/>
          </w:tcPr>
          <w:p w:rsidR="007912B2" w:rsidP="006D4956" w:rsidRDefault="007912B2">
            <w:r>
              <w:t>Age</w:t>
            </w:r>
          </w:p>
        </w:tc>
        <w:tc>
          <w:tcPr>
            <w:tcW w:w="1026" w:type="dxa"/>
          </w:tcPr>
          <w:p w:rsidR="007912B2" w:rsidP="006D4956" w:rsidRDefault="007912B2">
            <w:pPr>
              <w:jc w:val="right"/>
            </w:pPr>
          </w:p>
        </w:tc>
        <w:tc>
          <w:tcPr>
            <w:tcW w:w="1101" w:type="dxa"/>
            <w:gridSpan w:val="2"/>
          </w:tcPr>
          <w:p w:rsidR="007912B2" w:rsidP="006D4956" w:rsidRDefault="007912B2">
            <w:pPr>
              <w:jc w:val="right"/>
            </w:pPr>
            <w:r>
              <w:t>-0.074</w:t>
            </w:r>
          </w:p>
        </w:tc>
        <w:tc>
          <w:tcPr>
            <w:tcW w:w="1026" w:type="dxa"/>
          </w:tcPr>
          <w:p w:rsidR="007912B2" w:rsidP="006D4956" w:rsidRDefault="007912B2">
            <w:pPr>
              <w:jc w:val="right"/>
            </w:pPr>
          </w:p>
        </w:tc>
        <w:tc>
          <w:tcPr>
            <w:tcW w:w="1026" w:type="dxa"/>
          </w:tcPr>
          <w:p w:rsidR="007912B2" w:rsidP="006D4956" w:rsidRDefault="007912B2">
            <w:pPr>
              <w:jc w:val="right"/>
            </w:pPr>
            <w:r>
              <w:t>-0.013</w:t>
            </w:r>
          </w:p>
        </w:tc>
        <w:tc>
          <w:tcPr>
            <w:tcW w:w="1026" w:type="dxa"/>
          </w:tcPr>
          <w:p w:rsidR="007912B2" w:rsidP="006D4956" w:rsidRDefault="007912B2">
            <w:pPr>
              <w:jc w:val="right"/>
            </w:pPr>
          </w:p>
        </w:tc>
        <w:tc>
          <w:tcPr>
            <w:tcW w:w="1026" w:type="dxa"/>
          </w:tcPr>
          <w:p w:rsidR="007912B2" w:rsidP="006D4956" w:rsidRDefault="007912B2">
            <w:pPr>
              <w:jc w:val="right"/>
            </w:pPr>
            <w:r>
              <w:t>0.069</w:t>
            </w:r>
          </w:p>
        </w:tc>
      </w:tr>
      <w:tr w:rsidR="007912B2" w:rsidTr="006D4956">
        <w:trPr>
          <w:jc w:val="center"/>
        </w:trPr>
        <w:tc>
          <w:tcPr>
            <w:tcW w:w="3397" w:type="dxa"/>
          </w:tcPr>
          <w:p w:rsidR="007912B2" w:rsidP="006D4956" w:rsidRDefault="007912B2">
            <w:r>
              <w:t>Age squared</w:t>
            </w:r>
          </w:p>
        </w:tc>
        <w:tc>
          <w:tcPr>
            <w:tcW w:w="1026" w:type="dxa"/>
          </w:tcPr>
          <w:p w:rsidR="007912B2" w:rsidP="006D4956" w:rsidRDefault="007912B2">
            <w:pPr>
              <w:jc w:val="right"/>
            </w:pPr>
          </w:p>
        </w:tc>
        <w:tc>
          <w:tcPr>
            <w:tcW w:w="1101" w:type="dxa"/>
            <w:gridSpan w:val="2"/>
          </w:tcPr>
          <w:p w:rsidR="007912B2" w:rsidP="006D4956" w:rsidRDefault="007912B2">
            <w:pPr>
              <w:jc w:val="right"/>
            </w:pPr>
            <w:r>
              <w:t>0.001</w:t>
            </w:r>
          </w:p>
        </w:tc>
        <w:tc>
          <w:tcPr>
            <w:tcW w:w="1026" w:type="dxa"/>
          </w:tcPr>
          <w:p w:rsidR="007912B2" w:rsidP="006D4956" w:rsidRDefault="007912B2">
            <w:pPr>
              <w:jc w:val="right"/>
            </w:pPr>
          </w:p>
        </w:tc>
        <w:tc>
          <w:tcPr>
            <w:tcW w:w="1026" w:type="dxa"/>
          </w:tcPr>
          <w:p w:rsidR="007912B2" w:rsidP="006D4956" w:rsidRDefault="007912B2">
            <w:pPr>
              <w:jc w:val="right"/>
            </w:pPr>
            <w:r>
              <w:t>-0.000</w:t>
            </w:r>
          </w:p>
        </w:tc>
        <w:tc>
          <w:tcPr>
            <w:tcW w:w="1026" w:type="dxa"/>
          </w:tcPr>
          <w:p w:rsidR="007912B2" w:rsidP="006D4956" w:rsidRDefault="007912B2">
            <w:pPr>
              <w:jc w:val="right"/>
            </w:pPr>
          </w:p>
        </w:tc>
        <w:tc>
          <w:tcPr>
            <w:tcW w:w="1026" w:type="dxa"/>
          </w:tcPr>
          <w:p w:rsidR="007912B2" w:rsidP="006D4956" w:rsidRDefault="007912B2">
            <w:pPr>
              <w:jc w:val="right"/>
            </w:pPr>
            <w:r>
              <w:t>-0.002</w:t>
            </w:r>
          </w:p>
        </w:tc>
      </w:tr>
      <w:tr w:rsidR="007912B2" w:rsidTr="006D4956">
        <w:trPr>
          <w:jc w:val="center"/>
        </w:trPr>
        <w:tc>
          <w:tcPr>
            <w:tcW w:w="3397" w:type="dxa"/>
          </w:tcPr>
          <w:p w:rsidR="007912B2" w:rsidP="006D4956" w:rsidRDefault="007912B2">
            <w:r>
              <w:t>Male</w:t>
            </w:r>
          </w:p>
        </w:tc>
        <w:tc>
          <w:tcPr>
            <w:tcW w:w="1026" w:type="dxa"/>
          </w:tcPr>
          <w:p w:rsidR="007912B2" w:rsidP="006D4956" w:rsidRDefault="007912B2">
            <w:pPr>
              <w:jc w:val="center"/>
            </w:pPr>
            <w:r>
              <w:t>0.007</w:t>
            </w:r>
          </w:p>
        </w:tc>
        <w:tc>
          <w:tcPr>
            <w:tcW w:w="1101" w:type="dxa"/>
            <w:gridSpan w:val="2"/>
          </w:tcPr>
          <w:p w:rsidR="007912B2" w:rsidP="006D4956" w:rsidRDefault="007912B2">
            <w:pPr>
              <w:jc w:val="right"/>
            </w:pPr>
            <w:r>
              <w:t>0.000</w:t>
            </w:r>
          </w:p>
        </w:tc>
        <w:tc>
          <w:tcPr>
            <w:tcW w:w="1026" w:type="dxa"/>
          </w:tcPr>
          <w:p w:rsidR="007912B2" w:rsidP="006D4956" w:rsidRDefault="007912B2">
            <w:pPr>
              <w:jc w:val="right"/>
            </w:pPr>
            <w:r>
              <w:t>0.025</w:t>
            </w:r>
            <w:r w:rsidRPr="00E77F6C">
              <w:rPr>
                <w:vertAlign w:val="superscript"/>
              </w:rPr>
              <w:t>+</w:t>
            </w:r>
          </w:p>
        </w:tc>
        <w:tc>
          <w:tcPr>
            <w:tcW w:w="1026" w:type="dxa"/>
          </w:tcPr>
          <w:p w:rsidR="007912B2" w:rsidP="006D4956" w:rsidRDefault="007912B2">
            <w:pPr>
              <w:jc w:val="right"/>
            </w:pPr>
            <w:r>
              <w:t>0.011</w:t>
            </w:r>
          </w:p>
        </w:tc>
        <w:tc>
          <w:tcPr>
            <w:tcW w:w="1026" w:type="dxa"/>
          </w:tcPr>
          <w:p w:rsidR="007912B2" w:rsidP="006D4956" w:rsidRDefault="007912B2">
            <w:pPr>
              <w:jc w:val="right"/>
            </w:pPr>
            <w:r>
              <w:t>0.025</w:t>
            </w:r>
            <w:r w:rsidRPr="00AB5135">
              <w:rPr>
                <w:vertAlign w:val="superscript"/>
              </w:rPr>
              <w:t>+</w:t>
            </w:r>
          </w:p>
        </w:tc>
        <w:tc>
          <w:tcPr>
            <w:tcW w:w="1026" w:type="dxa"/>
          </w:tcPr>
          <w:p w:rsidR="007912B2" w:rsidP="006D4956" w:rsidRDefault="007912B2">
            <w:pPr>
              <w:jc w:val="right"/>
            </w:pPr>
            <w:r>
              <w:t>0.012</w:t>
            </w:r>
          </w:p>
        </w:tc>
      </w:tr>
      <w:tr w:rsidR="007912B2" w:rsidTr="006D4956">
        <w:trPr>
          <w:jc w:val="center"/>
        </w:trPr>
        <w:tc>
          <w:tcPr>
            <w:tcW w:w="3397" w:type="dxa"/>
          </w:tcPr>
          <w:p w:rsidR="007912B2" w:rsidP="006D4956" w:rsidRDefault="007912B2">
            <w:r>
              <w:t>Non-white</w:t>
            </w:r>
          </w:p>
        </w:tc>
        <w:tc>
          <w:tcPr>
            <w:tcW w:w="1026" w:type="dxa"/>
          </w:tcPr>
          <w:p w:rsidR="007912B2" w:rsidP="006D4956" w:rsidRDefault="007912B2">
            <w:pPr>
              <w:jc w:val="right"/>
            </w:pPr>
            <w:r>
              <w:t>-0.174</w:t>
            </w:r>
            <w:r w:rsidRPr="0030332C">
              <w:rPr>
                <w:vertAlign w:val="superscript"/>
              </w:rPr>
              <w:t>+++</w:t>
            </w:r>
          </w:p>
        </w:tc>
        <w:tc>
          <w:tcPr>
            <w:tcW w:w="1101" w:type="dxa"/>
            <w:gridSpan w:val="2"/>
          </w:tcPr>
          <w:p w:rsidR="007912B2" w:rsidP="006D4956" w:rsidRDefault="007912B2">
            <w:pPr>
              <w:jc w:val="right"/>
            </w:pPr>
            <w:r>
              <w:t>-0.074</w:t>
            </w:r>
            <w:r w:rsidRPr="00776C71">
              <w:rPr>
                <w:vertAlign w:val="superscript"/>
              </w:rPr>
              <w:t>+++</w:t>
            </w:r>
          </w:p>
        </w:tc>
        <w:tc>
          <w:tcPr>
            <w:tcW w:w="1026" w:type="dxa"/>
          </w:tcPr>
          <w:p w:rsidR="007912B2" w:rsidP="006D4956" w:rsidRDefault="007912B2">
            <w:pPr>
              <w:jc w:val="right"/>
            </w:pPr>
            <w:r>
              <w:t>-0.199</w:t>
            </w:r>
            <w:r w:rsidRPr="00E77F6C">
              <w:rPr>
                <w:vertAlign w:val="superscript"/>
              </w:rPr>
              <w:t>+++</w:t>
            </w:r>
          </w:p>
        </w:tc>
        <w:tc>
          <w:tcPr>
            <w:tcW w:w="1026" w:type="dxa"/>
          </w:tcPr>
          <w:p w:rsidR="007912B2" w:rsidP="006D4956" w:rsidRDefault="007912B2">
            <w:pPr>
              <w:jc w:val="right"/>
            </w:pPr>
            <w:r>
              <w:t>-0.088</w:t>
            </w:r>
            <w:r w:rsidRPr="00D92E3E">
              <w:rPr>
                <w:vertAlign w:val="superscript"/>
              </w:rPr>
              <w:t>+++</w:t>
            </w:r>
          </w:p>
        </w:tc>
        <w:tc>
          <w:tcPr>
            <w:tcW w:w="1026" w:type="dxa"/>
          </w:tcPr>
          <w:p w:rsidR="007912B2" w:rsidP="006D4956" w:rsidRDefault="007912B2">
            <w:pPr>
              <w:jc w:val="right"/>
            </w:pPr>
            <w:r>
              <w:t>-0.146</w:t>
            </w:r>
            <w:r w:rsidRPr="00AB5135">
              <w:rPr>
                <w:vertAlign w:val="superscript"/>
              </w:rPr>
              <w:t>+++</w:t>
            </w:r>
          </w:p>
        </w:tc>
        <w:tc>
          <w:tcPr>
            <w:tcW w:w="1026" w:type="dxa"/>
          </w:tcPr>
          <w:p w:rsidR="007912B2" w:rsidP="006D4956" w:rsidRDefault="007912B2">
            <w:pPr>
              <w:jc w:val="right"/>
            </w:pPr>
            <w:r>
              <w:t>-0.082</w:t>
            </w:r>
            <w:r w:rsidRPr="00DF1498">
              <w:rPr>
                <w:vertAlign w:val="superscript"/>
              </w:rPr>
              <w:t>+++</w:t>
            </w:r>
          </w:p>
        </w:tc>
      </w:tr>
      <w:tr w:rsidR="007912B2" w:rsidTr="006D4956">
        <w:trPr>
          <w:jc w:val="center"/>
        </w:trPr>
        <w:tc>
          <w:tcPr>
            <w:tcW w:w="3397" w:type="dxa"/>
          </w:tcPr>
          <w:p w:rsidR="007912B2" w:rsidP="006D4956" w:rsidRDefault="00435605">
            <w:r>
              <w:t>Learning problem</w:t>
            </w:r>
          </w:p>
        </w:tc>
        <w:tc>
          <w:tcPr>
            <w:tcW w:w="1026" w:type="dxa"/>
          </w:tcPr>
          <w:p w:rsidR="007912B2" w:rsidP="006D4956" w:rsidRDefault="007912B2">
            <w:pPr>
              <w:jc w:val="right"/>
            </w:pPr>
            <w:r>
              <w:t>0.059</w:t>
            </w:r>
            <w:r w:rsidRPr="0030332C">
              <w:rPr>
                <w:vertAlign w:val="superscript"/>
              </w:rPr>
              <w:t>++</w:t>
            </w:r>
          </w:p>
        </w:tc>
        <w:tc>
          <w:tcPr>
            <w:tcW w:w="1101" w:type="dxa"/>
            <w:gridSpan w:val="2"/>
          </w:tcPr>
          <w:p w:rsidR="007912B2" w:rsidP="006D4956" w:rsidRDefault="007912B2">
            <w:pPr>
              <w:jc w:val="right"/>
            </w:pPr>
            <w:r>
              <w:t>0.002</w:t>
            </w:r>
          </w:p>
        </w:tc>
        <w:tc>
          <w:tcPr>
            <w:tcW w:w="1026" w:type="dxa"/>
          </w:tcPr>
          <w:p w:rsidR="007912B2" w:rsidP="006D4956" w:rsidRDefault="007912B2">
            <w:pPr>
              <w:jc w:val="right"/>
            </w:pPr>
            <w:r>
              <w:t>0.091</w:t>
            </w:r>
            <w:r w:rsidRPr="00E77F6C">
              <w:rPr>
                <w:vertAlign w:val="superscript"/>
              </w:rPr>
              <w:t>+++</w:t>
            </w:r>
          </w:p>
        </w:tc>
        <w:tc>
          <w:tcPr>
            <w:tcW w:w="1026" w:type="dxa"/>
          </w:tcPr>
          <w:p w:rsidR="007912B2" w:rsidP="006D4956" w:rsidRDefault="007912B2">
            <w:pPr>
              <w:jc w:val="right"/>
            </w:pPr>
            <w:r>
              <w:t>0.044</w:t>
            </w:r>
          </w:p>
        </w:tc>
        <w:tc>
          <w:tcPr>
            <w:tcW w:w="1026" w:type="dxa"/>
          </w:tcPr>
          <w:p w:rsidR="007912B2" w:rsidP="006D4956" w:rsidRDefault="007912B2">
            <w:pPr>
              <w:jc w:val="right"/>
            </w:pPr>
            <w:r>
              <w:t>0.043</w:t>
            </w:r>
          </w:p>
        </w:tc>
        <w:tc>
          <w:tcPr>
            <w:tcW w:w="1026" w:type="dxa"/>
          </w:tcPr>
          <w:p w:rsidR="007912B2" w:rsidP="006D4956" w:rsidRDefault="007912B2">
            <w:pPr>
              <w:jc w:val="right"/>
            </w:pPr>
            <w:r>
              <w:t>0.032</w:t>
            </w:r>
          </w:p>
        </w:tc>
      </w:tr>
      <w:tr w:rsidR="007912B2" w:rsidTr="006D4956">
        <w:trPr>
          <w:jc w:val="center"/>
        </w:trPr>
        <w:tc>
          <w:tcPr>
            <w:tcW w:w="3397" w:type="dxa"/>
          </w:tcPr>
          <w:p w:rsidR="007912B2" w:rsidP="006D4956" w:rsidRDefault="007912B2">
            <w:r>
              <w:t>University choices</w:t>
            </w:r>
          </w:p>
        </w:tc>
        <w:tc>
          <w:tcPr>
            <w:tcW w:w="1026" w:type="dxa"/>
          </w:tcPr>
          <w:p w:rsidR="007912B2" w:rsidP="006D4956" w:rsidRDefault="007912B2">
            <w:pPr>
              <w:jc w:val="right"/>
            </w:pPr>
            <w:r>
              <w:t>-0.164</w:t>
            </w:r>
            <w:r w:rsidRPr="0030332C">
              <w:rPr>
                <w:vertAlign w:val="superscript"/>
              </w:rPr>
              <w:t>+++</w:t>
            </w:r>
          </w:p>
        </w:tc>
        <w:tc>
          <w:tcPr>
            <w:tcW w:w="1101" w:type="dxa"/>
            <w:gridSpan w:val="2"/>
          </w:tcPr>
          <w:p w:rsidR="007912B2" w:rsidP="006D4956" w:rsidRDefault="007912B2">
            <w:pPr>
              <w:jc w:val="right"/>
            </w:pPr>
          </w:p>
        </w:tc>
        <w:tc>
          <w:tcPr>
            <w:tcW w:w="1026" w:type="dxa"/>
          </w:tcPr>
          <w:p w:rsidR="007912B2" w:rsidP="006D4956" w:rsidRDefault="007912B2">
            <w:pPr>
              <w:jc w:val="right"/>
            </w:pPr>
            <w:r>
              <w:t>-0.125</w:t>
            </w:r>
            <w:r w:rsidRPr="00E77F6C">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r>
              <w:t>-0.078</w:t>
            </w:r>
            <w:r w:rsidRPr="00AB5135">
              <w:rPr>
                <w:vertAlign w:val="superscript"/>
              </w:rPr>
              <w:t>+++</w:t>
            </w:r>
          </w:p>
        </w:tc>
        <w:tc>
          <w:tcPr>
            <w:tcW w:w="1026" w:type="dxa"/>
          </w:tcPr>
          <w:p w:rsidR="007912B2" w:rsidP="006D4956" w:rsidRDefault="007912B2">
            <w:pPr>
              <w:jc w:val="right"/>
            </w:pPr>
          </w:p>
        </w:tc>
      </w:tr>
      <w:tr w:rsidR="007912B2" w:rsidTr="006D4956">
        <w:trPr>
          <w:jc w:val="center"/>
        </w:trPr>
        <w:tc>
          <w:tcPr>
            <w:tcW w:w="3397" w:type="dxa"/>
          </w:tcPr>
          <w:p w:rsidR="007912B2" w:rsidP="006D4956" w:rsidRDefault="007912B2">
            <w:r>
              <w:t>University choices squared</w:t>
            </w:r>
          </w:p>
        </w:tc>
        <w:tc>
          <w:tcPr>
            <w:tcW w:w="1026" w:type="dxa"/>
          </w:tcPr>
          <w:p w:rsidR="007912B2" w:rsidP="006D4956" w:rsidRDefault="007912B2">
            <w:pPr>
              <w:jc w:val="right"/>
            </w:pPr>
            <w:r>
              <w:t>0.000</w:t>
            </w:r>
          </w:p>
        </w:tc>
        <w:tc>
          <w:tcPr>
            <w:tcW w:w="1101" w:type="dxa"/>
            <w:gridSpan w:val="2"/>
          </w:tcPr>
          <w:p w:rsidR="007912B2" w:rsidP="006D4956" w:rsidRDefault="007912B2">
            <w:pPr>
              <w:jc w:val="right"/>
            </w:pPr>
          </w:p>
        </w:tc>
        <w:tc>
          <w:tcPr>
            <w:tcW w:w="1026" w:type="dxa"/>
          </w:tcPr>
          <w:p w:rsidR="007912B2" w:rsidP="006D4956" w:rsidRDefault="007912B2">
            <w:pPr>
              <w:jc w:val="right"/>
            </w:pPr>
            <w:r>
              <w:t>-0.000</w:t>
            </w:r>
          </w:p>
        </w:tc>
        <w:tc>
          <w:tcPr>
            <w:tcW w:w="1026" w:type="dxa"/>
          </w:tcPr>
          <w:p w:rsidR="007912B2" w:rsidP="006D4956" w:rsidRDefault="007912B2">
            <w:pPr>
              <w:jc w:val="right"/>
            </w:pPr>
          </w:p>
        </w:tc>
        <w:tc>
          <w:tcPr>
            <w:tcW w:w="1026" w:type="dxa"/>
          </w:tcPr>
          <w:p w:rsidR="007912B2" w:rsidP="006D4956" w:rsidRDefault="007912B2">
            <w:pPr>
              <w:jc w:val="right"/>
            </w:pPr>
            <w:r>
              <w:t>-0.001</w:t>
            </w:r>
            <w:r w:rsidRPr="00AB5135">
              <w:rPr>
                <w:vertAlign w:val="superscript"/>
              </w:rPr>
              <w:t>+++</w:t>
            </w:r>
          </w:p>
        </w:tc>
        <w:tc>
          <w:tcPr>
            <w:tcW w:w="1026" w:type="dxa"/>
          </w:tcPr>
          <w:p w:rsidR="007912B2" w:rsidP="006D4956" w:rsidRDefault="007912B2">
            <w:pPr>
              <w:jc w:val="right"/>
            </w:pPr>
          </w:p>
        </w:tc>
      </w:tr>
      <w:tr w:rsidR="007912B2" w:rsidTr="006D4956">
        <w:trPr>
          <w:jc w:val="center"/>
        </w:trPr>
        <w:tc>
          <w:tcPr>
            <w:tcW w:w="3397" w:type="dxa"/>
          </w:tcPr>
          <w:p w:rsidR="007912B2" w:rsidP="006D4956" w:rsidRDefault="007912B2">
            <w:r>
              <w:t>University research quality</w:t>
            </w:r>
          </w:p>
        </w:tc>
        <w:tc>
          <w:tcPr>
            <w:tcW w:w="1026" w:type="dxa"/>
          </w:tcPr>
          <w:p w:rsidR="007912B2" w:rsidP="006D4956" w:rsidRDefault="007912B2">
            <w:pPr>
              <w:jc w:val="right"/>
            </w:pPr>
            <w:r>
              <w:t>0.012</w:t>
            </w:r>
          </w:p>
        </w:tc>
        <w:tc>
          <w:tcPr>
            <w:tcW w:w="1101" w:type="dxa"/>
            <w:gridSpan w:val="2"/>
          </w:tcPr>
          <w:p w:rsidR="007912B2" w:rsidP="006D4956" w:rsidRDefault="007912B2">
            <w:pPr>
              <w:jc w:val="right"/>
            </w:pPr>
            <w:r>
              <w:t>-0.007</w:t>
            </w:r>
          </w:p>
        </w:tc>
        <w:tc>
          <w:tcPr>
            <w:tcW w:w="1026" w:type="dxa"/>
          </w:tcPr>
          <w:p w:rsidR="007912B2" w:rsidP="006D4956" w:rsidRDefault="007912B2">
            <w:pPr>
              <w:jc w:val="right"/>
            </w:pPr>
            <w:r>
              <w:t>0.049</w:t>
            </w:r>
            <w:r w:rsidRPr="00E77F6C">
              <w:rPr>
                <w:vertAlign w:val="superscript"/>
              </w:rPr>
              <w:t>+++</w:t>
            </w:r>
          </w:p>
        </w:tc>
        <w:tc>
          <w:tcPr>
            <w:tcW w:w="1026" w:type="dxa"/>
          </w:tcPr>
          <w:p w:rsidR="007912B2" w:rsidP="006D4956" w:rsidRDefault="007912B2">
            <w:pPr>
              <w:jc w:val="right"/>
            </w:pPr>
            <w:r>
              <w:t>0.011</w:t>
            </w:r>
          </w:p>
        </w:tc>
        <w:tc>
          <w:tcPr>
            <w:tcW w:w="1026" w:type="dxa"/>
          </w:tcPr>
          <w:p w:rsidR="007912B2" w:rsidP="006D4956" w:rsidRDefault="007912B2">
            <w:pPr>
              <w:jc w:val="right"/>
            </w:pPr>
            <w:r>
              <w:t>0.060</w:t>
            </w:r>
            <w:r w:rsidRPr="00576C90">
              <w:rPr>
                <w:vertAlign w:val="superscript"/>
              </w:rPr>
              <w:t>+++</w:t>
            </w:r>
          </w:p>
        </w:tc>
        <w:tc>
          <w:tcPr>
            <w:tcW w:w="1026" w:type="dxa"/>
          </w:tcPr>
          <w:p w:rsidR="007912B2" w:rsidP="006D4956" w:rsidRDefault="007912B2">
            <w:pPr>
              <w:jc w:val="right"/>
            </w:pPr>
            <w:r>
              <w:t>0.030</w:t>
            </w:r>
            <w:r w:rsidRPr="00DF1498">
              <w:rPr>
                <w:vertAlign w:val="superscript"/>
              </w:rPr>
              <w:t>+++</w:t>
            </w:r>
          </w:p>
        </w:tc>
      </w:tr>
      <w:tr w:rsidR="007912B2" w:rsidTr="006D4956">
        <w:trPr>
          <w:jc w:val="center"/>
        </w:trPr>
        <w:tc>
          <w:tcPr>
            <w:tcW w:w="3397" w:type="dxa"/>
          </w:tcPr>
          <w:p w:rsidRPr="007D0843" w:rsidR="007912B2" w:rsidP="006D4956" w:rsidRDefault="007912B2">
            <w:pPr>
              <w:rPr>
                <w:i/>
              </w:rPr>
            </w:pPr>
            <w:r w:rsidRPr="007D0843">
              <w:rPr>
                <w:i/>
              </w:rPr>
              <w:t>Institution type</w:t>
            </w:r>
          </w:p>
          <w:p w:rsidR="007912B2" w:rsidP="006D4956" w:rsidRDefault="007912B2">
            <w:r>
              <w:t xml:space="preserve">Russell </w:t>
            </w:r>
            <w:r w:rsidR="009B3C42">
              <w:t>G</w:t>
            </w:r>
            <w:r>
              <w:t>roup</w:t>
            </w:r>
          </w:p>
          <w:p w:rsidR="007912B2" w:rsidP="006D4956" w:rsidRDefault="007912B2">
            <w:r>
              <w:t xml:space="preserve">1994 </w:t>
            </w:r>
            <w:r w:rsidR="009B3C42">
              <w:t>G</w:t>
            </w:r>
            <w:r>
              <w:t>roup</w:t>
            </w:r>
          </w:p>
          <w:p w:rsidR="007912B2" w:rsidP="006D4956" w:rsidRDefault="007912B2">
            <w:r>
              <w:t>Pre-1992</w:t>
            </w:r>
          </w:p>
          <w:p w:rsidR="007912B2" w:rsidP="006D4956" w:rsidRDefault="007912B2">
            <w:r>
              <w:t>Other</w:t>
            </w: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0.056</w:t>
            </w:r>
            <w:r w:rsidRPr="003D5A73">
              <w:rPr>
                <w:vertAlign w:val="superscript"/>
              </w:rPr>
              <w:t>++</w:t>
            </w:r>
          </w:p>
          <w:p w:rsidR="007912B2" w:rsidP="006D4956" w:rsidRDefault="007912B2">
            <w:pPr>
              <w:jc w:val="right"/>
            </w:pPr>
            <w:r>
              <w:t>-0.088</w:t>
            </w:r>
            <w:r w:rsidRPr="003D5A73">
              <w:rPr>
                <w:vertAlign w:val="superscript"/>
              </w:rPr>
              <w:t>+++</w:t>
            </w:r>
          </w:p>
          <w:p w:rsidR="007912B2" w:rsidP="006D4956" w:rsidRDefault="007912B2">
            <w:pPr>
              <w:jc w:val="right"/>
            </w:pPr>
            <w:r>
              <w:t>-0.104</w:t>
            </w:r>
            <w:r w:rsidRPr="003D5A73">
              <w:rPr>
                <w:vertAlign w:val="superscript"/>
              </w:rPr>
              <w:t>+++</w:t>
            </w:r>
          </w:p>
        </w:tc>
        <w:tc>
          <w:tcPr>
            <w:tcW w:w="1101" w:type="dxa"/>
            <w:gridSpan w:val="2"/>
          </w:tcPr>
          <w:p w:rsidR="007912B2" w:rsidP="006D4956" w:rsidRDefault="007912B2">
            <w:pPr>
              <w:jc w:val="right"/>
            </w:pPr>
          </w:p>
          <w:p w:rsidR="007912B2" w:rsidP="006D4956" w:rsidRDefault="007912B2">
            <w:pPr>
              <w:jc w:val="right"/>
            </w:pPr>
            <w:r>
              <w:t>(E)</w:t>
            </w:r>
          </w:p>
          <w:p w:rsidR="007912B2" w:rsidP="006D4956" w:rsidRDefault="007912B2">
            <w:pPr>
              <w:jc w:val="right"/>
            </w:pPr>
            <w:r>
              <w:t>0.092</w:t>
            </w:r>
            <w:r w:rsidRPr="00776C71">
              <w:rPr>
                <w:vertAlign w:val="superscript"/>
              </w:rPr>
              <w:t>+++</w:t>
            </w:r>
          </w:p>
          <w:p w:rsidR="007912B2" w:rsidP="006D4956" w:rsidRDefault="007912B2">
            <w:pPr>
              <w:jc w:val="right"/>
            </w:pPr>
            <w:r>
              <w:t>-0.002</w:t>
            </w:r>
          </w:p>
          <w:p w:rsidR="007912B2" w:rsidP="006D4956" w:rsidRDefault="007912B2">
            <w:pPr>
              <w:jc w:val="right"/>
            </w:pPr>
            <w:r>
              <w:t>-0.089</w:t>
            </w:r>
            <w:r w:rsidRPr="00776C71">
              <w:rPr>
                <w:vertAlign w:val="superscript"/>
              </w:rPr>
              <w:t>+++</w:t>
            </w: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0.052</w:t>
            </w:r>
            <w:r w:rsidRPr="00E77F6C">
              <w:rPr>
                <w:vertAlign w:val="superscript"/>
              </w:rPr>
              <w:t>+</w:t>
            </w:r>
          </w:p>
          <w:p w:rsidR="007912B2" w:rsidP="006D4956" w:rsidRDefault="007912B2">
            <w:pPr>
              <w:jc w:val="right"/>
            </w:pPr>
            <w:r>
              <w:t>-0.122</w:t>
            </w:r>
            <w:r w:rsidRPr="00E77F6C">
              <w:rPr>
                <w:vertAlign w:val="superscript"/>
              </w:rPr>
              <w:t>+++</w:t>
            </w:r>
          </w:p>
          <w:p w:rsidR="007912B2" w:rsidP="006D4956" w:rsidRDefault="007912B2">
            <w:pPr>
              <w:jc w:val="right"/>
            </w:pPr>
            <w:r>
              <w:t>-0.085</w:t>
            </w:r>
            <w:r w:rsidRPr="00E77F6C">
              <w:rPr>
                <w:vertAlign w:val="superscript"/>
              </w:rPr>
              <w:t>+++</w:t>
            </w: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0.064</w:t>
            </w:r>
            <w:r w:rsidRPr="00D92E3E">
              <w:rPr>
                <w:vertAlign w:val="superscript"/>
              </w:rPr>
              <w:t>++</w:t>
            </w:r>
          </w:p>
          <w:p w:rsidR="007912B2" w:rsidP="006D4956" w:rsidRDefault="007912B2">
            <w:pPr>
              <w:jc w:val="right"/>
            </w:pPr>
            <w:r>
              <w:t>-0.043</w:t>
            </w:r>
            <w:r w:rsidRPr="00D92E3E">
              <w:rPr>
                <w:vertAlign w:val="superscript"/>
              </w:rPr>
              <w:t>++</w:t>
            </w:r>
          </w:p>
          <w:p w:rsidR="007912B2" w:rsidP="006D4956" w:rsidRDefault="007912B2">
            <w:pPr>
              <w:jc w:val="right"/>
            </w:pPr>
            <w:r>
              <w:t>-0.109</w:t>
            </w:r>
            <w:r w:rsidRPr="00D92E3E">
              <w:rPr>
                <w:vertAlign w:val="superscript"/>
              </w:rPr>
              <w:t>+++</w:t>
            </w: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0.015</w:t>
            </w:r>
          </w:p>
          <w:p w:rsidR="007912B2" w:rsidP="006D4956" w:rsidRDefault="007912B2">
            <w:pPr>
              <w:jc w:val="right"/>
            </w:pPr>
            <w:r>
              <w:t>-0.139</w:t>
            </w:r>
            <w:r w:rsidRPr="00576C90">
              <w:rPr>
                <w:vertAlign w:val="superscript"/>
              </w:rPr>
              <w:t>+++</w:t>
            </w:r>
          </w:p>
          <w:p w:rsidR="007912B2" w:rsidP="006D4956" w:rsidRDefault="007912B2">
            <w:pPr>
              <w:jc w:val="right"/>
            </w:pPr>
            <w:r>
              <w:t>-0.041</w:t>
            </w: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0.047</w:t>
            </w:r>
            <w:r w:rsidRPr="00DF1498">
              <w:rPr>
                <w:vertAlign w:val="superscript"/>
              </w:rPr>
              <w:t>++</w:t>
            </w:r>
          </w:p>
          <w:p w:rsidR="007912B2" w:rsidP="006D4956" w:rsidRDefault="007912B2">
            <w:pPr>
              <w:jc w:val="right"/>
            </w:pPr>
            <w:r>
              <w:t>-0.056</w:t>
            </w:r>
            <w:r w:rsidRPr="00DF1498">
              <w:rPr>
                <w:vertAlign w:val="superscript"/>
              </w:rPr>
              <w:t>+++</w:t>
            </w:r>
          </w:p>
          <w:p w:rsidR="007912B2" w:rsidP="006D4956" w:rsidRDefault="007912B2">
            <w:pPr>
              <w:jc w:val="right"/>
            </w:pPr>
            <w:r>
              <w:t>-0.042</w:t>
            </w:r>
            <w:r w:rsidRPr="00DF1498">
              <w:rPr>
                <w:vertAlign w:val="superscript"/>
              </w:rPr>
              <w:t>+</w:t>
            </w:r>
          </w:p>
        </w:tc>
      </w:tr>
      <w:tr w:rsidR="007912B2" w:rsidTr="006D4956">
        <w:trPr>
          <w:jc w:val="center"/>
        </w:trPr>
        <w:tc>
          <w:tcPr>
            <w:tcW w:w="3397" w:type="dxa"/>
          </w:tcPr>
          <w:p w:rsidRPr="0018175D" w:rsidR="007912B2" w:rsidP="006D4956" w:rsidRDefault="007912B2">
            <w:pPr>
              <w:rPr>
                <w:i/>
              </w:rPr>
            </w:pPr>
            <w:r>
              <w:rPr>
                <w:i/>
              </w:rPr>
              <w:t>Degree subject</w:t>
            </w:r>
          </w:p>
          <w:p w:rsidR="007912B2" w:rsidP="006D4956" w:rsidRDefault="007912B2">
            <w:r>
              <w:t>Medicine &amp; dentistry</w:t>
            </w:r>
          </w:p>
          <w:p w:rsidR="007912B2" w:rsidP="006D4956" w:rsidRDefault="007912B2">
            <w:r>
              <w:t>Subjects allied to medicine</w:t>
            </w:r>
          </w:p>
          <w:p w:rsidR="007912B2" w:rsidP="006D4956" w:rsidRDefault="007912B2">
            <w:r>
              <w:t>Biological, veterinary &amp; agricultural</w:t>
            </w:r>
          </w:p>
          <w:p w:rsidR="007912B2" w:rsidP="006D4956" w:rsidRDefault="007912B2">
            <w:r>
              <w:t>Physical sciences</w:t>
            </w:r>
          </w:p>
          <w:p w:rsidR="007912B2" w:rsidP="006D4956" w:rsidRDefault="007912B2">
            <w:r>
              <w:t>Mathematics &amp; computer science</w:t>
            </w:r>
          </w:p>
          <w:p w:rsidR="007912B2" w:rsidP="006D4956" w:rsidRDefault="007912B2">
            <w:r>
              <w:t>Engineering &amp; technology</w:t>
            </w:r>
          </w:p>
          <w:p w:rsidR="007912B2" w:rsidP="006D4956" w:rsidRDefault="007912B2">
            <w:r>
              <w:t>Architecture, building &amp; planning</w:t>
            </w:r>
          </w:p>
          <w:p w:rsidR="007912B2" w:rsidP="006D4956" w:rsidRDefault="007912B2">
            <w:r>
              <w:t>Social studies</w:t>
            </w:r>
          </w:p>
          <w:p w:rsidR="007912B2" w:rsidP="006D4956" w:rsidRDefault="007912B2">
            <w:r>
              <w:t>Law</w:t>
            </w:r>
          </w:p>
          <w:p w:rsidR="007912B2" w:rsidP="006D4956" w:rsidRDefault="007912B2">
            <w:r>
              <w:t>Business &amp; administrative studies</w:t>
            </w:r>
          </w:p>
          <w:p w:rsidR="007912B2" w:rsidP="006D4956" w:rsidRDefault="007912B2">
            <w:r>
              <w:t>Communication &amp; documentation</w:t>
            </w:r>
          </w:p>
          <w:p w:rsidR="007912B2" w:rsidP="006D4956" w:rsidRDefault="007912B2">
            <w:r>
              <w:t>Linguistics, languages &amp; literature</w:t>
            </w:r>
          </w:p>
          <w:p w:rsidR="007912B2" w:rsidP="006D4956" w:rsidRDefault="007912B2">
            <w:r>
              <w:t>History &amp; philosophy</w:t>
            </w:r>
          </w:p>
          <w:p w:rsidR="007912B2" w:rsidP="006D4956" w:rsidRDefault="007912B2">
            <w:r>
              <w:t>Creative arts &amp; design</w:t>
            </w:r>
          </w:p>
          <w:p w:rsidR="007912B2" w:rsidP="006D4956" w:rsidRDefault="007912B2">
            <w:r>
              <w:t>Education</w:t>
            </w:r>
          </w:p>
          <w:p w:rsidRPr="00960C49" w:rsidR="007912B2" w:rsidP="006D4956" w:rsidRDefault="007912B2">
            <w:r>
              <w:t>Combined</w:t>
            </w:r>
          </w:p>
        </w:tc>
        <w:tc>
          <w:tcPr>
            <w:tcW w:w="1026" w:type="dxa"/>
          </w:tcPr>
          <w:p w:rsidR="007912B2" w:rsidP="006D4956" w:rsidRDefault="007912B2">
            <w:pPr>
              <w:jc w:val="right"/>
            </w:pPr>
          </w:p>
          <w:p w:rsidR="007912B2" w:rsidP="006D4956" w:rsidRDefault="007912B2">
            <w:pPr>
              <w:jc w:val="right"/>
            </w:pPr>
            <w:r>
              <w:t>-0.023</w:t>
            </w:r>
          </w:p>
          <w:p w:rsidR="007912B2" w:rsidP="006D4956" w:rsidRDefault="007912B2">
            <w:pPr>
              <w:jc w:val="right"/>
            </w:pPr>
            <w:r>
              <w:t>0.024</w:t>
            </w:r>
          </w:p>
          <w:p w:rsidR="007912B2" w:rsidP="006D4956" w:rsidRDefault="007912B2">
            <w:pPr>
              <w:jc w:val="right"/>
            </w:pPr>
            <w:r>
              <w:t>0.073</w:t>
            </w:r>
            <w:r w:rsidRPr="003D5A73">
              <w:rPr>
                <w:vertAlign w:val="superscript"/>
              </w:rPr>
              <w:t>+++</w:t>
            </w:r>
          </w:p>
          <w:p w:rsidR="007912B2" w:rsidP="006D4956" w:rsidRDefault="007912B2">
            <w:pPr>
              <w:jc w:val="right"/>
            </w:pPr>
            <w:r>
              <w:t>0.026</w:t>
            </w:r>
          </w:p>
          <w:p w:rsidR="007912B2" w:rsidP="006D4956" w:rsidRDefault="007912B2">
            <w:pPr>
              <w:jc w:val="right"/>
            </w:pPr>
            <w:r>
              <w:t>-0.053</w:t>
            </w:r>
          </w:p>
          <w:p w:rsidR="007912B2" w:rsidP="006D4956" w:rsidRDefault="007912B2">
            <w:pPr>
              <w:jc w:val="right"/>
            </w:pPr>
            <w:r>
              <w:t>-0.009</w:t>
            </w:r>
          </w:p>
          <w:p w:rsidR="007912B2" w:rsidP="006D4956" w:rsidRDefault="007912B2">
            <w:pPr>
              <w:jc w:val="right"/>
            </w:pPr>
            <w:r>
              <w:t>0.075</w:t>
            </w:r>
            <w:r w:rsidRPr="003D5A73">
              <w:rPr>
                <w:vertAlign w:val="superscript"/>
              </w:rPr>
              <w:t>+</w:t>
            </w:r>
          </w:p>
          <w:p w:rsidR="007912B2" w:rsidP="006D4956" w:rsidRDefault="007912B2">
            <w:pPr>
              <w:jc w:val="right"/>
            </w:pPr>
            <w:r>
              <w:t>0.020</w:t>
            </w:r>
          </w:p>
          <w:p w:rsidR="007912B2" w:rsidP="006D4956" w:rsidRDefault="007912B2">
            <w:pPr>
              <w:jc w:val="right"/>
            </w:pPr>
            <w:r>
              <w:t>-0.011</w:t>
            </w:r>
          </w:p>
          <w:p w:rsidR="007912B2" w:rsidP="006D4956" w:rsidRDefault="007912B2">
            <w:pPr>
              <w:jc w:val="right"/>
            </w:pPr>
            <w:r>
              <w:t>(E)</w:t>
            </w:r>
          </w:p>
          <w:p w:rsidR="007912B2" w:rsidP="006D4956" w:rsidRDefault="007912B2">
            <w:pPr>
              <w:jc w:val="right"/>
            </w:pPr>
            <w:r>
              <w:t>0.081</w:t>
            </w:r>
            <w:r w:rsidRPr="003D5A73">
              <w:rPr>
                <w:vertAlign w:val="superscript"/>
              </w:rPr>
              <w:t>+++</w:t>
            </w:r>
          </w:p>
          <w:p w:rsidR="007912B2" w:rsidP="006D4956" w:rsidRDefault="007912B2">
            <w:pPr>
              <w:jc w:val="right"/>
            </w:pPr>
            <w:r>
              <w:t>0.035</w:t>
            </w:r>
          </w:p>
          <w:p w:rsidR="007912B2" w:rsidP="006D4956" w:rsidRDefault="007912B2">
            <w:pPr>
              <w:jc w:val="right"/>
            </w:pPr>
            <w:r>
              <w:t>-0.010</w:t>
            </w:r>
          </w:p>
          <w:p w:rsidR="007912B2" w:rsidP="006D4956" w:rsidRDefault="007912B2">
            <w:pPr>
              <w:jc w:val="right"/>
            </w:pPr>
            <w:r>
              <w:t>0.069</w:t>
            </w:r>
          </w:p>
          <w:p w:rsidR="007912B2" w:rsidP="006D4956" w:rsidRDefault="007912B2">
            <w:pPr>
              <w:jc w:val="right"/>
            </w:pPr>
            <w:r>
              <w:t>-0.003</w:t>
            </w:r>
          </w:p>
          <w:p w:rsidR="007912B2" w:rsidP="006D4956" w:rsidRDefault="007912B2">
            <w:pPr>
              <w:jc w:val="right"/>
            </w:pPr>
            <w:r>
              <w:t>0.016</w:t>
            </w:r>
          </w:p>
        </w:tc>
        <w:tc>
          <w:tcPr>
            <w:tcW w:w="1101" w:type="dxa"/>
            <w:gridSpan w:val="2"/>
          </w:tcPr>
          <w:p w:rsidR="007912B2" w:rsidP="006D4956" w:rsidRDefault="007912B2">
            <w:pPr>
              <w:jc w:val="right"/>
            </w:pPr>
          </w:p>
          <w:p w:rsidR="007912B2" w:rsidP="006D4956" w:rsidRDefault="007912B2">
            <w:pPr>
              <w:jc w:val="right"/>
            </w:pPr>
            <w:r>
              <w:t>-0.065</w:t>
            </w:r>
          </w:p>
          <w:p w:rsidR="007912B2" w:rsidP="006D4956" w:rsidRDefault="007912B2">
            <w:pPr>
              <w:jc w:val="right"/>
            </w:pPr>
            <w:r>
              <w:t>0.045</w:t>
            </w:r>
            <w:r w:rsidRPr="00776C71">
              <w:rPr>
                <w:vertAlign w:val="superscript"/>
              </w:rPr>
              <w:t>+</w:t>
            </w:r>
          </w:p>
          <w:p w:rsidR="007912B2" w:rsidP="006D4956" w:rsidRDefault="007912B2">
            <w:pPr>
              <w:jc w:val="right"/>
            </w:pPr>
            <w:r>
              <w:t>0.068</w:t>
            </w:r>
            <w:r w:rsidRPr="00776C71">
              <w:rPr>
                <w:vertAlign w:val="superscript"/>
              </w:rPr>
              <w:t>++</w:t>
            </w:r>
          </w:p>
          <w:p w:rsidR="007912B2" w:rsidP="006D4956" w:rsidRDefault="007912B2">
            <w:pPr>
              <w:jc w:val="right"/>
            </w:pPr>
            <w:r>
              <w:t>0.064</w:t>
            </w:r>
            <w:r w:rsidRPr="00776C71">
              <w:rPr>
                <w:vertAlign w:val="superscript"/>
              </w:rPr>
              <w:t>+</w:t>
            </w:r>
          </w:p>
          <w:p w:rsidR="007912B2" w:rsidP="006D4956" w:rsidRDefault="007912B2">
            <w:pPr>
              <w:jc w:val="right"/>
            </w:pPr>
            <w:r>
              <w:t>0.016</w:t>
            </w:r>
          </w:p>
          <w:p w:rsidR="007912B2" w:rsidP="006D4956" w:rsidRDefault="007912B2">
            <w:pPr>
              <w:jc w:val="right"/>
            </w:pPr>
            <w:r>
              <w:t>0.094</w:t>
            </w:r>
            <w:r w:rsidRPr="00776C71">
              <w:rPr>
                <w:vertAlign w:val="superscript"/>
              </w:rPr>
              <w:t>+++</w:t>
            </w:r>
          </w:p>
          <w:p w:rsidR="007912B2" w:rsidP="006D4956" w:rsidRDefault="007912B2">
            <w:pPr>
              <w:jc w:val="right"/>
            </w:pPr>
            <w:r>
              <w:t>0.129</w:t>
            </w:r>
            <w:r w:rsidRPr="00776C71">
              <w:rPr>
                <w:vertAlign w:val="superscript"/>
              </w:rPr>
              <w:t>+++</w:t>
            </w:r>
          </w:p>
          <w:p w:rsidR="007912B2" w:rsidP="006D4956" w:rsidRDefault="007912B2">
            <w:pPr>
              <w:jc w:val="right"/>
            </w:pPr>
            <w:r>
              <w:t>-0.018</w:t>
            </w:r>
          </w:p>
          <w:p w:rsidR="007912B2" w:rsidP="006D4956" w:rsidRDefault="007912B2">
            <w:pPr>
              <w:jc w:val="right"/>
            </w:pPr>
            <w:r>
              <w:t>0.025</w:t>
            </w:r>
          </w:p>
          <w:p w:rsidR="007912B2" w:rsidP="006D4956" w:rsidRDefault="007912B2">
            <w:pPr>
              <w:jc w:val="right"/>
            </w:pPr>
            <w:r>
              <w:t>(E)</w:t>
            </w:r>
          </w:p>
          <w:p w:rsidR="007912B2" w:rsidP="006D4956" w:rsidRDefault="007912B2">
            <w:pPr>
              <w:jc w:val="right"/>
            </w:pPr>
            <w:r>
              <w:t>0.036</w:t>
            </w:r>
          </w:p>
          <w:p w:rsidR="007912B2" w:rsidP="006D4956" w:rsidRDefault="007912B2">
            <w:pPr>
              <w:jc w:val="right"/>
            </w:pPr>
            <w:r>
              <w:t>0.052</w:t>
            </w:r>
          </w:p>
          <w:p w:rsidR="007912B2" w:rsidP="006D4956" w:rsidRDefault="007912B2">
            <w:pPr>
              <w:jc w:val="right"/>
            </w:pPr>
            <w:r>
              <w:t>-0.050</w:t>
            </w:r>
          </w:p>
          <w:p w:rsidR="007912B2" w:rsidP="006D4956" w:rsidRDefault="007912B2">
            <w:pPr>
              <w:jc w:val="right"/>
            </w:pPr>
            <w:r>
              <w:t>0.037</w:t>
            </w:r>
          </w:p>
          <w:p w:rsidR="007912B2" w:rsidP="006D4956" w:rsidRDefault="007912B2">
            <w:pPr>
              <w:jc w:val="right"/>
            </w:pPr>
            <w:r>
              <w:t>0.065</w:t>
            </w:r>
            <w:r w:rsidRPr="00776C71">
              <w:rPr>
                <w:vertAlign w:val="superscript"/>
              </w:rPr>
              <w:t>++</w:t>
            </w:r>
          </w:p>
          <w:p w:rsidR="007912B2" w:rsidP="006D4956" w:rsidRDefault="007912B2">
            <w:pPr>
              <w:jc w:val="right"/>
            </w:pPr>
            <w:r>
              <w:t>0.013</w:t>
            </w:r>
          </w:p>
        </w:tc>
        <w:tc>
          <w:tcPr>
            <w:tcW w:w="1026" w:type="dxa"/>
          </w:tcPr>
          <w:p w:rsidR="007912B2" w:rsidP="006D4956" w:rsidRDefault="007912B2">
            <w:pPr>
              <w:jc w:val="right"/>
            </w:pPr>
          </w:p>
          <w:p w:rsidR="007912B2" w:rsidP="006D4956" w:rsidRDefault="007912B2">
            <w:pPr>
              <w:jc w:val="right"/>
            </w:pPr>
            <w:r>
              <w:t>0.033</w:t>
            </w:r>
          </w:p>
          <w:p w:rsidR="007912B2" w:rsidP="006D4956" w:rsidRDefault="007912B2">
            <w:pPr>
              <w:jc w:val="right"/>
            </w:pPr>
            <w:r>
              <w:t>0.029</w:t>
            </w:r>
          </w:p>
          <w:p w:rsidR="007912B2" w:rsidP="006D4956" w:rsidRDefault="007912B2">
            <w:pPr>
              <w:jc w:val="right"/>
            </w:pPr>
            <w:r>
              <w:t>0.099</w:t>
            </w:r>
            <w:r w:rsidRPr="00904A61">
              <w:rPr>
                <w:vertAlign w:val="superscript"/>
              </w:rPr>
              <w:t>+++</w:t>
            </w:r>
          </w:p>
          <w:p w:rsidR="007912B2" w:rsidP="006D4956" w:rsidRDefault="007912B2">
            <w:pPr>
              <w:jc w:val="right"/>
            </w:pPr>
            <w:r>
              <w:t>0.084</w:t>
            </w:r>
            <w:r w:rsidRPr="00904A61">
              <w:rPr>
                <w:vertAlign w:val="superscript"/>
              </w:rPr>
              <w:t>++</w:t>
            </w:r>
          </w:p>
          <w:p w:rsidR="007912B2" w:rsidP="006D4956" w:rsidRDefault="007912B2">
            <w:pPr>
              <w:jc w:val="right"/>
            </w:pPr>
            <w:r>
              <w:t>-0.018</w:t>
            </w:r>
          </w:p>
          <w:p w:rsidR="007912B2" w:rsidP="006D4956" w:rsidRDefault="007912B2">
            <w:pPr>
              <w:jc w:val="right"/>
            </w:pPr>
            <w:r>
              <w:t>0.014</w:t>
            </w:r>
          </w:p>
          <w:p w:rsidR="007912B2" w:rsidP="006D4956" w:rsidRDefault="007912B2">
            <w:pPr>
              <w:jc w:val="right"/>
            </w:pPr>
            <w:r>
              <w:t>0.056</w:t>
            </w:r>
          </w:p>
          <w:p w:rsidR="007912B2" w:rsidP="006D4956" w:rsidRDefault="007912B2">
            <w:pPr>
              <w:jc w:val="right"/>
            </w:pPr>
            <w:r>
              <w:t>0.041</w:t>
            </w:r>
          </w:p>
          <w:p w:rsidR="007912B2" w:rsidP="006D4956" w:rsidRDefault="007912B2">
            <w:pPr>
              <w:jc w:val="right"/>
            </w:pPr>
            <w:r>
              <w:t>-0.024</w:t>
            </w:r>
          </w:p>
          <w:p w:rsidR="007912B2" w:rsidP="006D4956" w:rsidRDefault="007912B2">
            <w:pPr>
              <w:jc w:val="right"/>
            </w:pPr>
            <w:r>
              <w:t>(E)</w:t>
            </w:r>
          </w:p>
          <w:p w:rsidR="007912B2" w:rsidP="006D4956" w:rsidRDefault="007912B2">
            <w:pPr>
              <w:jc w:val="right"/>
            </w:pPr>
            <w:r>
              <w:t>0.121</w:t>
            </w:r>
            <w:r w:rsidRPr="00904A61">
              <w:rPr>
                <w:vertAlign w:val="superscript"/>
              </w:rPr>
              <w:t>+++</w:t>
            </w:r>
          </w:p>
          <w:p w:rsidR="007912B2" w:rsidP="006D4956" w:rsidRDefault="007912B2">
            <w:pPr>
              <w:jc w:val="right"/>
            </w:pPr>
            <w:r>
              <w:t>0.066</w:t>
            </w:r>
            <w:r w:rsidRPr="00904A61">
              <w:rPr>
                <w:vertAlign w:val="superscript"/>
              </w:rPr>
              <w:t>++</w:t>
            </w:r>
          </w:p>
          <w:p w:rsidR="007912B2" w:rsidP="006D4956" w:rsidRDefault="007912B2">
            <w:pPr>
              <w:jc w:val="right"/>
            </w:pPr>
            <w:r>
              <w:t>-0.011</w:t>
            </w:r>
          </w:p>
          <w:p w:rsidR="007912B2" w:rsidP="006D4956" w:rsidRDefault="007912B2">
            <w:pPr>
              <w:jc w:val="right"/>
            </w:pPr>
            <w:r>
              <w:t>0.112</w:t>
            </w:r>
            <w:r w:rsidRPr="00904A61">
              <w:rPr>
                <w:vertAlign w:val="superscript"/>
              </w:rPr>
              <w:t>+++</w:t>
            </w:r>
          </w:p>
          <w:p w:rsidR="007912B2" w:rsidP="006D4956" w:rsidRDefault="007912B2">
            <w:pPr>
              <w:jc w:val="right"/>
            </w:pPr>
            <w:r>
              <w:t>-0.010</w:t>
            </w:r>
          </w:p>
          <w:p w:rsidR="007912B2" w:rsidP="006D4956" w:rsidRDefault="007912B2">
            <w:pPr>
              <w:jc w:val="right"/>
            </w:pPr>
            <w:r>
              <w:t>0.044</w:t>
            </w:r>
            <w:r w:rsidRPr="00904A61">
              <w:rPr>
                <w:vertAlign w:val="superscript"/>
              </w:rPr>
              <w:t>++</w:t>
            </w:r>
          </w:p>
        </w:tc>
        <w:tc>
          <w:tcPr>
            <w:tcW w:w="1026" w:type="dxa"/>
          </w:tcPr>
          <w:p w:rsidR="007912B2" w:rsidP="006D4956" w:rsidRDefault="007912B2">
            <w:pPr>
              <w:jc w:val="right"/>
            </w:pPr>
          </w:p>
          <w:p w:rsidR="007912B2" w:rsidP="006D4956" w:rsidRDefault="007912B2">
            <w:pPr>
              <w:jc w:val="right"/>
            </w:pPr>
            <w:r>
              <w:t>-0.096</w:t>
            </w:r>
            <w:r w:rsidRPr="00D92E3E">
              <w:rPr>
                <w:vertAlign w:val="superscript"/>
              </w:rPr>
              <w:t>++</w:t>
            </w:r>
          </w:p>
          <w:p w:rsidR="007912B2" w:rsidP="006D4956" w:rsidRDefault="007912B2">
            <w:pPr>
              <w:jc w:val="right"/>
            </w:pPr>
            <w:r>
              <w:t>0.002</w:t>
            </w:r>
          </w:p>
          <w:p w:rsidR="007912B2" w:rsidP="006D4956" w:rsidRDefault="007912B2">
            <w:pPr>
              <w:jc w:val="right"/>
            </w:pPr>
            <w:r>
              <w:t>0.077</w:t>
            </w:r>
            <w:r w:rsidRPr="00D92E3E">
              <w:rPr>
                <w:vertAlign w:val="superscript"/>
              </w:rPr>
              <w:t>+++</w:t>
            </w:r>
          </w:p>
          <w:p w:rsidR="007912B2" w:rsidP="006D4956" w:rsidRDefault="007912B2">
            <w:pPr>
              <w:jc w:val="right"/>
            </w:pPr>
            <w:r>
              <w:t>0.080</w:t>
            </w:r>
            <w:r w:rsidRPr="00D92E3E">
              <w:rPr>
                <w:vertAlign w:val="superscript"/>
              </w:rPr>
              <w:t>++</w:t>
            </w:r>
          </w:p>
          <w:p w:rsidR="007912B2" w:rsidP="006D4956" w:rsidRDefault="007912B2">
            <w:pPr>
              <w:jc w:val="right"/>
            </w:pPr>
            <w:r>
              <w:t>0.009</w:t>
            </w:r>
          </w:p>
          <w:p w:rsidR="007912B2" w:rsidP="006D4956" w:rsidRDefault="007912B2">
            <w:pPr>
              <w:jc w:val="right"/>
            </w:pPr>
            <w:r>
              <w:t>0.063+</w:t>
            </w:r>
          </w:p>
          <w:p w:rsidR="007912B2" w:rsidP="006D4956" w:rsidRDefault="007912B2">
            <w:pPr>
              <w:jc w:val="right"/>
            </w:pPr>
            <w:r>
              <w:t>0.121</w:t>
            </w:r>
            <w:r w:rsidRPr="00D92E3E">
              <w:rPr>
                <w:vertAlign w:val="superscript"/>
              </w:rPr>
              <w:t>++</w:t>
            </w:r>
          </w:p>
          <w:p w:rsidR="007912B2" w:rsidP="006D4956" w:rsidRDefault="007912B2">
            <w:pPr>
              <w:jc w:val="right"/>
            </w:pPr>
            <w:r>
              <w:t>-0.005</w:t>
            </w:r>
          </w:p>
          <w:p w:rsidR="007912B2" w:rsidP="006D4956" w:rsidRDefault="007912B2">
            <w:pPr>
              <w:jc w:val="right"/>
            </w:pPr>
            <w:r>
              <w:t>0.035</w:t>
            </w:r>
          </w:p>
          <w:p w:rsidR="007912B2" w:rsidP="006D4956" w:rsidRDefault="007912B2">
            <w:pPr>
              <w:jc w:val="right"/>
            </w:pPr>
            <w:r>
              <w:t>(E)</w:t>
            </w:r>
          </w:p>
          <w:p w:rsidR="007912B2" w:rsidP="006D4956" w:rsidRDefault="007912B2">
            <w:pPr>
              <w:jc w:val="right"/>
            </w:pPr>
            <w:r>
              <w:t>0.076</w:t>
            </w:r>
            <w:r w:rsidRPr="00D92E3E">
              <w:rPr>
                <w:vertAlign w:val="superscript"/>
              </w:rPr>
              <w:t>+</w:t>
            </w:r>
          </w:p>
          <w:p w:rsidR="007912B2" w:rsidP="006D4956" w:rsidRDefault="007912B2">
            <w:pPr>
              <w:jc w:val="right"/>
            </w:pPr>
            <w:r>
              <w:t>0.071</w:t>
            </w:r>
            <w:r w:rsidRPr="00D92E3E">
              <w:rPr>
                <w:vertAlign w:val="superscript"/>
              </w:rPr>
              <w:t>++</w:t>
            </w:r>
          </w:p>
          <w:p w:rsidR="007912B2" w:rsidP="006D4956" w:rsidRDefault="007912B2">
            <w:pPr>
              <w:jc w:val="right"/>
            </w:pPr>
            <w:r>
              <w:t>-0.019</w:t>
            </w:r>
          </w:p>
          <w:p w:rsidR="007912B2" w:rsidP="006D4956" w:rsidRDefault="007912B2">
            <w:pPr>
              <w:jc w:val="right"/>
            </w:pPr>
            <w:r>
              <w:t>0.004</w:t>
            </w:r>
          </w:p>
          <w:p w:rsidR="007912B2" w:rsidP="006D4956" w:rsidRDefault="007912B2">
            <w:pPr>
              <w:jc w:val="right"/>
            </w:pPr>
            <w:r>
              <w:t>0.008</w:t>
            </w:r>
          </w:p>
          <w:p w:rsidR="007912B2" w:rsidP="006D4956" w:rsidRDefault="007912B2">
            <w:pPr>
              <w:jc w:val="right"/>
            </w:pPr>
            <w:r>
              <w:t>0.013</w:t>
            </w:r>
          </w:p>
        </w:tc>
        <w:tc>
          <w:tcPr>
            <w:tcW w:w="1026" w:type="dxa"/>
          </w:tcPr>
          <w:p w:rsidR="007912B2" w:rsidP="006D4956" w:rsidRDefault="007912B2">
            <w:pPr>
              <w:jc w:val="right"/>
            </w:pPr>
          </w:p>
          <w:p w:rsidR="007912B2" w:rsidP="006D4956" w:rsidRDefault="007912B2">
            <w:pPr>
              <w:jc w:val="right"/>
            </w:pPr>
            <w:r>
              <w:t>0.056</w:t>
            </w:r>
            <w:r w:rsidRPr="00761585">
              <w:rPr>
                <w:vertAlign w:val="superscript"/>
              </w:rPr>
              <w:t>+</w:t>
            </w:r>
          </w:p>
          <w:p w:rsidR="007912B2" w:rsidP="006D4956" w:rsidRDefault="007912B2">
            <w:pPr>
              <w:jc w:val="right"/>
            </w:pPr>
            <w:r>
              <w:t>0.033</w:t>
            </w:r>
          </w:p>
          <w:p w:rsidR="007912B2" w:rsidP="006D4956" w:rsidRDefault="007912B2">
            <w:pPr>
              <w:jc w:val="right"/>
            </w:pPr>
            <w:r>
              <w:t>0.081</w:t>
            </w:r>
            <w:r w:rsidRPr="00761585">
              <w:rPr>
                <w:vertAlign w:val="superscript"/>
              </w:rPr>
              <w:t>+++</w:t>
            </w:r>
          </w:p>
          <w:p w:rsidR="007912B2" w:rsidP="006D4956" w:rsidRDefault="007912B2">
            <w:pPr>
              <w:jc w:val="right"/>
            </w:pPr>
            <w:r>
              <w:t>0.062</w:t>
            </w:r>
            <w:r w:rsidRPr="00761585">
              <w:rPr>
                <w:vertAlign w:val="superscript"/>
              </w:rPr>
              <w:t>+</w:t>
            </w:r>
          </w:p>
          <w:p w:rsidR="007912B2" w:rsidP="006D4956" w:rsidRDefault="007912B2">
            <w:pPr>
              <w:jc w:val="right"/>
            </w:pPr>
            <w:r>
              <w:t>-0.010</w:t>
            </w:r>
          </w:p>
          <w:p w:rsidR="007912B2" w:rsidP="006D4956" w:rsidRDefault="007912B2">
            <w:pPr>
              <w:jc w:val="right"/>
            </w:pPr>
            <w:r>
              <w:t>-0.007</w:t>
            </w:r>
          </w:p>
          <w:p w:rsidR="007912B2" w:rsidP="006D4956" w:rsidRDefault="007912B2">
            <w:pPr>
              <w:jc w:val="right"/>
            </w:pPr>
            <w:r>
              <w:t>0.094</w:t>
            </w:r>
            <w:r w:rsidRPr="00761585">
              <w:rPr>
                <w:vertAlign w:val="superscript"/>
              </w:rPr>
              <w:t>+</w:t>
            </w:r>
          </w:p>
          <w:p w:rsidR="007912B2" w:rsidP="006D4956" w:rsidRDefault="007912B2">
            <w:pPr>
              <w:jc w:val="right"/>
            </w:pPr>
            <w:r>
              <w:t>0.023</w:t>
            </w:r>
          </w:p>
          <w:p w:rsidR="007912B2" w:rsidP="006D4956" w:rsidRDefault="007912B2">
            <w:pPr>
              <w:jc w:val="right"/>
            </w:pPr>
            <w:r>
              <w:t>-0.018</w:t>
            </w:r>
          </w:p>
          <w:p w:rsidR="007912B2" w:rsidP="006D4956" w:rsidRDefault="007912B2">
            <w:pPr>
              <w:jc w:val="right"/>
            </w:pPr>
            <w:r>
              <w:t>(E)</w:t>
            </w:r>
          </w:p>
          <w:p w:rsidR="007912B2" w:rsidP="006D4956" w:rsidRDefault="007912B2">
            <w:pPr>
              <w:jc w:val="right"/>
            </w:pPr>
            <w:r>
              <w:t>0.135</w:t>
            </w:r>
            <w:r w:rsidRPr="00761585">
              <w:rPr>
                <w:vertAlign w:val="superscript"/>
              </w:rPr>
              <w:t>+++</w:t>
            </w:r>
          </w:p>
          <w:p w:rsidR="007912B2" w:rsidP="006D4956" w:rsidRDefault="007912B2">
            <w:pPr>
              <w:jc w:val="right"/>
            </w:pPr>
            <w:r>
              <w:t>0.061</w:t>
            </w:r>
            <w:r w:rsidRPr="00761585">
              <w:rPr>
                <w:vertAlign w:val="superscript"/>
              </w:rPr>
              <w:t>+</w:t>
            </w:r>
          </w:p>
          <w:p w:rsidR="007912B2" w:rsidP="006D4956" w:rsidRDefault="007912B2">
            <w:pPr>
              <w:jc w:val="right"/>
            </w:pPr>
            <w:r>
              <w:t>0.028</w:t>
            </w:r>
          </w:p>
          <w:p w:rsidR="007912B2" w:rsidP="006D4956" w:rsidRDefault="007912B2">
            <w:pPr>
              <w:jc w:val="right"/>
            </w:pPr>
            <w:r>
              <w:t>0.162</w:t>
            </w:r>
            <w:r w:rsidRPr="00761585">
              <w:rPr>
                <w:vertAlign w:val="superscript"/>
              </w:rPr>
              <w:t>+++</w:t>
            </w:r>
          </w:p>
          <w:p w:rsidR="007912B2" w:rsidP="006D4956" w:rsidRDefault="007912B2">
            <w:pPr>
              <w:jc w:val="right"/>
            </w:pPr>
            <w:r>
              <w:t>-0.085</w:t>
            </w:r>
            <w:r w:rsidRPr="00761585">
              <w:rPr>
                <w:vertAlign w:val="superscript"/>
              </w:rPr>
              <w:t>+++</w:t>
            </w:r>
          </w:p>
          <w:p w:rsidR="007912B2" w:rsidP="006D4956" w:rsidRDefault="007912B2">
            <w:pPr>
              <w:jc w:val="right"/>
            </w:pPr>
            <w:r>
              <w:t>0.039</w:t>
            </w:r>
            <w:r w:rsidRPr="00761585">
              <w:rPr>
                <w:vertAlign w:val="superscript"/>
              </w:rPr>
              <w:t>+</w:t>
            </w:r>
          </w:p>
        </w:tc>
        <w:tc>
          <w:tcPr>
            <w:tcW w:w="1026" w:type="dxa"/>
          </w:tcPr>
          <w:p w:rsidR="007912B2" w:rsidP="006D4956" w:rsidRDefault="007912B2">
            <w:pPr>
              <w:jc w:val="right"/>
            </w:pPr>
          </w:p>
          <w:p w:rsidR="007912B2" w:rsidP="006D4956" w:rsidRDefault="007912B2">
            <w:pPr>
              <w:jc w:val="right"/>
            </w:pPr>
            <w:r>
              <w:t>-0.076</w:t>
            </w:r>
            <w:r w:rsidRPr="00DF1498">
              <w:rPr>
                <w:vertAlign w:val="superscript"/>
              </w:rPr>
              <w:t>++</w:t>
            </w:r>
          </w:p>
          <w:p w:rsidR="007912B2" w:rsidP="006D4956" w:rsidRDefault="007912B2">
            <w:pPr>
              <w:jc w:val="right"/>
            </w:pPr>
            <w:r>
              <w:t>0.018</w:t>
            </w:r>
          </w:p>
          <w:p w:rsidR="007912B2" w:rsidP="006D4956" w:rsidRDefault="007912B2">
            <w:pPr>
              <w:jc w:val="right"/>
            </w:pPr>
            <w:r>
              <w:t>0.102</w:t>
            </w:r>
            <w:r w:rsidRPr="00DF1498">
              <w:rPr>
                <w:vertAlign w:val="superscript"/>
              </w:rPr>
              <w:t>+++</w:t>
            </w:r>
          </w:p>
          <w:p w:rsidR="007912B2" w:rsidP="006D4956" w:rsidRDefault="007912B2">
            <w:pPr>
              <w:jc w:val="right"/>
            </w:pPr>
            <w:r>
              <w:t>0.062</w:t>
            </w:r>
            <w:r w:rsidRPr="00DF1498">
              <w:rPr>
                <w:vertAlign w:val="superscript"/>
              </w:rPr>
              <w:t>+</w:t>
            </w:r>
          </w:p>
          <w:p w:rsidR="007912B2" w:rsidP="006D4956" w:rsidRDefault="007912B2">
            <w:pPr>
              <w:jc w:val="right"/>
            </w:pPr>
            <w:r>
              <w:t>-0.001</w:t>
            </w:r>
          </w:p>
          <w:p w:rsidR="007912B2" w:rsidP="006D4956" w:rsidRDefault="007912B2">
            <w:pPr>
              <w:jc w:val="right"/>
            </w:pPr>
            <w:r>
              <w:t>0.040</w:t>
            </w:r>
          </w:p>
          <w:p w:rsidR="007912B2" w:rsidP="006D4956" w:rsidRDefault="007912B2">
            <w:pPr>
              <w:jc w:val="right"/>
            </w:pPr>
            <w:r>
              <w:t>0.106</w:t>
            </w:r>
            <w:r w:rsidRPr="00DF1498">
              <w:rPr>
                <w:vertAlign w:val="superscript"/>
              </w:rPr>
              <w:t>++</w:t>
            </w:r>
          </w:p>
          <w:p w:rsidR="007912B2" w:rsidP="006D4956" w:rsidRDefault="007912B2">
            <w:pPr>
              <w:jc w:val="right"/>
            </w:pPr>
            <w:r>
              <w:t>-0.005</w:t>
            </w:r>
          </w:p>
          <w:p w:rsidR="007912B2" w:rsidP="006D4956" w:rsidRDefault="007912B2">
            <w:pPr>
              <w:jc w:val="right"/>
            </w:pPr>
            <w:r>
              <w:t>0.012</w:t>
            </w:r>
          </w:p>
          <w:p w:rsidR="007912B2" w:rsidP="006D4956" w:rsidRDefault="007912B2">
            <w:pPr>
              <w:jc w:val="right"/>
            </w:pPr>
            <w:r>
              <w:t>(E)</w:t>
            </w:r>
          </w:p>
          <w:p w:rsidR="007912B2" w:rsidP="006D4956" w:rsidRDefault="007912B2">
            <w:pPr>
              <w:jc w:val="right"/>
            </w:pPr>
            <w:r>
              <w:t>0.080</w:t>
            </w:r>
            <w:r w:rsidRPr="00DF1498">
              <w:rPr>
                <w:vertAlign w:val="superscript"/>
              </w:rPr>
              <w:t>++</w:t>
            </w:r>
          </w:p>
          <w:p w:rsidR="007912B2" w:rsidP="006D4956" w:rsidRDefault="007912B2">
            <w:pPr>
              <w:jc w:val="right"/>
            </w:pPr>
            <w:r>
              <w:t>0.052</w:t>
            </w:r>
            <w:r w:rsidRPr="00DF1498">
              <w:rPr>
                <w:vertAlign w:val="superscript"/>
              </w:rPr>
              <w:t>+</w:t>
            </w:r>
          </w:p>
          <w:p w:rsidR="007912B2" w:rsidP="006D4956" w:rsidRDefault="007912B2">
            <w:pPr>
              <w:jc w:val="right"/>
            </w:pPr>
            <w:r>
              <w:t>0.036</w:t>
            </w:r>
          </w:p>
          <w:p w:rsidR="007912B2" w:rsidP="006D4956" w:rsidRDefault="007912B2">
            <w:pPr>
              <w:jc w:val="right"/>
            </w:pPr>
            <w:r>
              <w:t>0.031</w:t>
            </w:r>
          </w:p>
          <w:p w:rsidR="007912B2" w:rsidP="006D4956" w:rsidRDefault="007912B2">
            <w:pPr>
              <w:jc w:val="right"/>
            </w:pPr>
            <w:r>
              <w:t>-0.048</w:t>
            </w:r>
            <w:r w:rsidRPr="00DF1498">
              <w:rPr>
                <w:vertAlign w:val="superscript"/>
              </w:rPr>
              <w:t>++</w:t>
            </w:r>
          </w:p>
          <w:p w:rsidR="007912B2" w:rsidP="006D4956" w:rsidRDefault="007912B2">
            <w:pPr>
              <w:jc w:val="right"/>
            </w:pPr>
            <w:r>
              <w:t>0.011</w:t>
            </w:r>
          </w:p>
        </w:tc>
      </w:tr>
      <w:tr w:rsidR="007912B2" w:rsidTr="006D4956">
        <w:trPr>
          <w:jc w:val="center"/>
        </w:trPr>
        <w:tc>
          <w:tcPr>
            <w:tcW w:w="3397" w:type="dxa"/>
          </w:tcPr>
          <w:p w:rsidRPr="007D0843" w:rsidR="007912B2" w:rsidP="006D4956" w:rsidRDefault="007912B2">
            <w:pPr>
              <w:rPr>
                <w:i/>
              </w:rPr>
            </w:pPr>
            <w:r w:rsidRPr="007D0843">
              <w:rPr>
                <w:i/>
              </w:rPr>
              <w:t>Degree class</w:t>
            </w:r>
          </w:p>
          <w:p w:rsidR="007912B2" w:rsidP="006D4956" w:rsidRDefault="007912B2">
            <w:r>
              <w:t>First</w:t>
            </w:r>
          </w:p>
          <w:p w:rsidR="007912B2" w:rsidP="006D4956" w:rsidRDefault="007912B2">
            <w:r>
              <w:t>Upper second</w:t>
            </w:r>
          </w:p>
          <w:p w:rsidR="007912B2" w:rsidP="006D4956" w:rsidRDefault="007912B2">
            <w:r>
              <w:t>Lower second</w:t>
            </w:r>
          </w:p>
          <w:p w:rsidR="007912B2" w:rsidP="006D4956" w:rsidRDefault="007912B2">
            <w:r>
              <w:t>Third</w:t>
            </w:r>
          </w:p>
          <w:p w:rsidR="007912B2" w:rsidP="006D4956" w:rsidRDefault="007912B2">
            <w:r>
              <w:t>Unclassified</w:t>
            </w:r>
          </w:p>
          <w:p w:rsidR="007912B2" w:rsidP="006D4956" w:rsidRDefault="007912B2">
            <w:r>
              <w:t>Other</w:t>
            </w:r>
          </w:p>
        </w:tc>
        <w:tc>
          <w:tcPr>
            <w:tcW w:w="1026" w:type="dxa"/>
          </w:tcPr>
          <w:p w:rsidR="007912B2" w:rsidP="006D4956" w:rsidRDefault="007912B2">
            <w:pPr>
              <w:jc w:val="right"/>
            </w:pPr>
          </w:p>
        </w:tc>
        <w:tc>
          <w:tcPr>
            <w:tcW w:w="1101" w:type="dxa"/>
            <w:gridSpan w:val="2"/>
          </w:tcPr>
          <w:p w:rsidR="007912B2" w:rsidP="006D4956" w:rsidRDefault="007912B2">
            <w:pPr>
              <w:jc w:val="right"/>
            </w:pPr>
          </w:p>
          <w:p w:rsidR="007912B2" w:rsidP="006D4956" w:rsidRDefault="007912B2">
            <w:pPr>
              <w:jc w:val="right"/>
            </w:pPr>
            <w:r>
              <w:t>(E)</w:t>
            </w:r>
          </w:p>
          <w:p w:rsidR="007912B2" w:rsidP="006D4956" w:rsidRDefault="007912B2">
            <w:pPr>
              <w:jc w:val="right"/>
            </w:pPr>
            <w:r>
              <w:t>0.013</w:t>
            </w:r>
          </w:p>
          <w:p w:rsidR="007912B2" w:rsidP="006D4956" w:rsidRDefault="007912B2">
            <w:pPr>
              <w:jc w:val="right"/>
            </w:pPr>
            <w:r>
              <w:t>-0.001</w:t>
            </w:r>
          </w:p>
          <w:p w:rsidR="007912B2" w:rsidP="006D4956" w:rsidRDefault="007912B2">
            <w:pPr>
              <w:jc w:val="right"/>
            </w:pPr>
            <w:r>
              <w:t>-0.048</w:t>
            </w:r>
          </w:p>
          <w:p w:rsidR="007912B2" w:rsidP="006D4956" w:rsidRDefault="007912B2">
            <w:pPr>
              <w:jc w:val="right"/>
            </w:pPr>
            <w:r>
              <w:t>-0.056</w:t>
            </w:r>
          </w:p>
          <w:p w:rsidR="007912B2" w:rsidP="006D4956" w:rsidRDefault="007912B2">
            <w:pPr>
              <w:jc w:val="right"/>
            </w:pPr>
            <w:r>
              <w:t>0.064</w:t>
            </w:r>
            <w:r w:rsidRPr="00856973">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0.015</w:t>
            </w:r>
          </w:p>
          <w:p w:rsidR="007912B2" w:rsidP="006D4956" w:rsidRDefault="007912B2">
            <w:pPr>
              <w:jc w:val="right"/>
            </w:pPr>
            <w:r>
              <w:t>0.005</w:t>
            </w:r>
          </w:p>
          <w:p w:rsidR="007912B2" w:rsidP="006D4956" w:rsidRDefault="007912B2">
            <w:pPr>
              <w:jc w:val="right"/>
            </w:pPr>
            <w:r>
              <w:t>-0.013</w:t>
            </w:r>
          </w:p>
          <w:p w:rsidR="007912B2" w:rsidP="006D4956" w:rsidRDefault="007912B2">
            <w:pPr>
              <w:jc w:val="right"/>
            </w:pPr>
            <w:r>
              <w:t>-0.033</w:t>
            </w:r>
          </w:p>
          <w:p w:rsidR="007912B2" w:rsidP="006D4956" w:rsidRDefault="007912B2">
            <w:pPr>
              <w:jc w:val="right"/>
            </w:pPr>
            <w:r>
              <w:t>0.058</w:t>
            </w:r>
            <w:r w:rsidRPr="00D92E3E">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0.008</w:t>
            </w:r>
          </w:p>
          <w:p w:rsidR="007912B2" w:rsidP="006D4956" w:rsidRDefault="007912B2">
            <w:pPr>
              <w:jc w:val="right"/>
            </w:pPr>
            <w:r>
              <w:t>-0.002</w:t>
            </w:r>
          </w:p>
          <w:p w:rsidR="007912B2" w:rsidP="006D4956" w:rsidRDefault="007912B2">
            <w:pPr>
              <w:jc w:val="right"/>
            </w:pPr>
            <w:r>
              <w:t>-0.015</w:t>
            </w:r>
          </w:p>
          <w:p w:rsidR="007912B2" w:rsidP="006D4956" w:rsidRDefault="007912B2">
            <w:pPr>
              <w:jc w:val="right"/>
            </w:pPr>
            <w:r>
              <w:t>-0.030</w:t>
            </w:r>
          </w:p>
          <w:p w:rsidR="007912B2" w:rsidP="006D4956" w:rsidRDefault="007912B2">
            <w:pPr>
              <w:jc w:val="right"/>
            </w:pPr>
            <w:r>
              <w:t>0.017</w:t>
            </w:r>
          </w:p>
        </w:tc>
      </w:tr>
      <w:tr w:rsidR="007912B2" w:rsidTr="006D4956">
        <w:trPr>
          <w:jc w:val="center"/>
        </w:trPr>
        <w:tc>
          <w:tcPr>
            <w:tcW w:w="3397" w:type="dxa"/>
          </w:tcPr>
          <w:p w:rsidRPr="0018175D" w:rsidR="007912B2" w:rsidP="006D4956" w:rsidRDefault="007912B2">
            <w:pPr>
              <w:rPr>
                <w:i/>
              </w:rPr>
            </w:pPr>
            <w:r w:rsidRPr="0018175D">
              <w:rPr>
                <w:i/>
              </w:rPr>
              <w:t>Number of unemployment spells</w:t>
            </w:r>
          </w:p>
          <w:p w:rsidR="007912B2" w:rsidP="006D4956" w:rsidRDefault="007912B2">
            <w:r>
              <w:t>0</w:t>
            </w:r>
          </w:p>
          <w:p w:rsidR="007912B2" w:rsidP="006D4956" w:rsidRDefault="007912B2">
            <w:r>
              <w:t>1</w:t>
            </w:r>
          </w:p>
          <w:p w:rsidR="007912B2" w:rsidP="006D4956" w:rsidRDefault="007912B2">
            <w:r>
              <w:t>2</w:t>
            </w:r>
          </w:p>
          <w:p w:rsidR="007912B2" w:rsidP="006D4956" w:rsidRDefault="007912B2">
            <w:r>
              <w:t>3</w:t>
            </w:r>
          </w:p>
          <w:p w:rsidR="007912B2" w:rsidP="006D4956" w:rsidRDefault="007912B2">
            <w:r>
              <w:t>4</w:t>
            </w:r>
          </w:p>
          <w:p w:rsidRPr="0018175D" w:rsidR="007912B2" w:rsidP="006D4956" w:rsidRDefault="007912B2">
            <w:r>
              <w:lastRenderedPageBreak/>
              <w:t>5+</w:t>
            </w:r>
          </w:p>
        </w:tc>
        <w:tc>
          <w:tcPr>
            <w:tcW w:w="1026" w:type="dxa"/>
          </w:tcPr>
          <w:p w:rsidR="007912B2" w:rsidP="006D4956" w:rsidRDefault="007912B2">
            <w:pPr>
              <w:jc w:val="right"/>
            </w:pPr>
          </w:p>
        </w:tc>
        <w:tc>
          <w:tcPr>
            <w:tcW w:w="1101" w:type="dxa"/>
            <w:gridSpan w:val="2"/>
          </w:tcPr>
          <w:p w:rsidR="007912B2" w:rsidP="006D4956" w:rsidRDefault="007912B2">
            <w:pPr>
              <w:jc w:val="right"/>
            </w:pPr>
          </w:p>
          <w:p w:rsidR="007912B2" w:rsidP="006D4956" w:rsidRDefault="007912B2">
            <w:pPr>
              <w:jc w:val="right"/>
            </w:pPr>
            <w:r>
              <w:t>(E)</w:t>
            </w:r>
          </w:p>
          <w:p w:rsidR="007912B2" w:rsidP="006D4956" w:rsidRDefault="007912B2">
            <w:pPr>
              <w:jc w:val="right"/>
            </w:pPr>
            <w:r>
              <w:t>0.007</w:t>
            </w:r>
          </w:p>
          <w:p w:rsidR="007912B2" w:rsidP="006D4956" w:rsidRDefault="007912B2">
            <w:pPr>
              <w:jc w:val="right"/>
            </w:pPr>
            <w:r>
              <w:t>0.015</w:t>
            </w:r>
          </w:p>
          <w:p w:rsidR="007912B2" w:rsidP="006D4956" w:rsidRDefault="007912B2">
            <w:pPr>
              <w:jc w:val="right"/>
            </w:pPr>
            <w:r>
              <w:t>0.069</w:t>
            </w:r>
          </w:p>
          <w:p w:rsidR="007912B2" w:rsidP="006D4956" w:rsidRDefault="007912B2">
            <w:pPr>
              <w:jc w:val="right"/>
            </w:pPr>
            <w:r>
              <w:t>0.058</w:t>
            </w:r>
          </w:p>
          <w:p w:rsidR="007912B2" w:rsidP="006D4956" w:rsidRDefault="007912B2">
            <w:pPr>
              <w:jc w:val="right"/>
            </w:pPr>
            <w:r>
              <w:lastRenderedPageBreak/>
              <w:t>0.076</w:t>
            </w:r>
          </w:p>
        </w:tc>
        <w:tc>
          <w:tcPr>
            <w:tcW w:w="1026" w:type="dxa"/>
          </w:tcPr>
          <w:p w:rsidR="007912B2" w:rsidP="006D4956" w:rsidRDefault="007912B2">
            <w:pPr>
              <w:jc w:val="right"/>
            </w:pP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0.016</w:t>
            </w:r>
          </w:p>
          <w:p w:rsidR="007912B2" w:rsidP="006D4956" w:rsidRDefault="007912B2">
            <w:pPr>
              <w:jc w:val="right"/>
            </w:pPr>
            <w:r>
              <w:t>0.025</w:t>
            </w:r>
          </w:p>
          <w:p w:rsidR="007912B2" w:rsidP="006D4956" w:rsidRDefault="007912B2">
            <w:pPr>
              <w:jc w:val="right"/>
            </w:pPr>
            <w:r>
              <w:t>0.081</w:t>
            </w:r>
            <w:r w:rsidRPr="00D92E3E">
              <w:rPr>
                <w:vertAlign w:val="superscript"/>
              </w:rPr>
              <w:t>++</w:t>
            </w:r>
          </w:p>
          <w:p w:rsidR="007912B2" w:rsidP="006D4956" w:rsidRDefault="007912B2">
            <w:pPr>
              <w:jc w:val="right"/>
            </w:pPr>
            <w:r>
              <w:t>0.105</w:t>
            </w:r>
          </w:p>
          <w:p w:rsidR="007912B2" w:rsidP="006D4956" w:rsidRDefault="007912B2">
            <w:pPr>
              <w:jc w:val="right"/>
            </w:pPr>
            <w:r>
              <w:lastRenderedPageBreak/>
              <w:t>-0.000</w:t>
            </w:r>
          </w:p>
        </w:tc>
        <w:tc>
          <w:tcPr>
            <w:tcW w:w="1026" w:type="dxa"/>
          </w:tcPr>
          <w:p w:rsidR="007912B2" w:rsidP="006D4956" w:rsidRDefault="007912B2">
            <w:pPr>
              <w:jc w:val="right"/>
            </w:pP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0.008</w:t>
            </w:r>
          </w:p>
          <w:p w:rsidR="007912B2" w:rsidP="006D4956" w:rsidRDefault="007912B2">
            <w:pPr>
              <w:jc w:val="right"/>
            </w:pPr>
            <w:r>
              <w:t>0.022</w:t>
            </w:r>
          </w:p>
          <w:p w:rsidR="007912B2" w:rsidP="006D4956" w:rsidRDefault="007912B2">
            <w:pPr>
              <w:jc w:val="right"/>
            </w:pPr>
            <w:r>
              <w:t>0.038</w:t>
            </w:r>
          </w:p>
          <w:p w:rsidR="007912B2" w:rsidP="006D4956" w:rsidRDefault="007912B2">
            <w:pPr>
              <w:jc w:val="right"/>
            </w:pPr>
            <w:r>
              <w:t>0.065</w:t>
            </w:r>
          </w:p>
          <w:p w:rsidR="007912B2" w:rsidP="006D4956" w:rsidRDefault="007912B2">
            <w:pPr>
              <w:jc w:val="right"/>
            </w:pPr>
            <w:r>
              <w:lastRenderedPageBreak/>
              <w:t>-0.013</w:t>
            </w:r>
          </w:p>
        </w:tc>
      </w:tr>
      <w:tr w:rsidR="007912B2" w:rsidTr="006D4956">
        <w:trPr>
          <w:jc w:val="center"/>
        </w:trPr>
        <w:tc>
          <w:tcPr>
            <w:tcW w:w="3397" w:type="dxa"/>
          </w:tcPr>
          <w:p w:rsidRPr="0018175D" w:rsidR="007912B2" w:rsidP="006D4956" w:rsidRDefault="007912B2">
            <w:pPr>
              <w:rPr>
                <w:i/>
              </w:rPr>
            </w:pPr>
            <w:r w:rsidRPr="0018175D">
              <w:rPr>
                <w:i/>
              </w:rPr>
              <w:lastRenderedPageBreak/>
              <w:t>Importance of degree</w:t>
            </w:r>
          </w:p>
          <w:p w:rsidR="007912B2" w:rsidP="006D4956" w:rsidRDefault="007912B2">
            <w:r>
              <w:t>Formal requirement</w:t>
            </w:r>
          </w:p>
          <w:p w:rsidR="007912B2" w:rsidP="006D4956" w:rsidRDefault="007912B2">
            <w:r>
              <w:t>Important</w:t>
            </w:r>
          </w:p>
          <w:p w:rsidR="007912B2" w:rsidP="006D4956" w:rsidRDefault="007912B2">
            <w:r>
              <w:t>Not very important but helped</w:t>
            </w:r>
          </w:p>
          <w:p w:rsidR="007912B2" w:rsidP="006D4956" w:rsidRDefault="007912B2">
            <w:r>
              <w:t>Not important</w:t>
            </w:r>
          </w:p>
          <w:p w:rsidRPr="0018175D" w:rsidR="007912B2" w:rsidP="006D4956" w:rsidRDefault="007912B2">
            <w:r>
              <w:t>Don’t know/not stated</w:t>
            </w:r>
          </w:p>
        </w:tc>
        <w:tc>
          <w:tcPr>
            <w:tcW w:w="1026" w:type="dxa"/>
          </w:tcPr>
          <w:p w:rsidR="007912B2" w:rsidP="006D4956" w:rsidRDefault="007912B2">
            <w:pPr>
              <w:jc w:val="right"/>
            </w:pPr>
          </w:p>
          <w:p w:rsidR="007912B2" w:rsidP="006D4956" w:rsidRDefault="007912B2">
            <w:pPr>
              <w:jc w:val="right"/>
            </w:pPr>
          </w:p>
          <w:p w:rsidR="007912B2" w:rsidP="006D4956" w:rsidRDefault="007912B2">
            <w:pPr>
              <w:jc w:val="right"/>
            </w:pPr>
          </w:p>
          <w:p w:rsidR="007912B2" w:rsidP="006D4956" w:rsidRDefault="007912B2">
            <w:pPr>
              <w:jc w:val="right"/>
            </w:pPr>
          </w:p>
          <w:p w:rsidR="007912B2" w:rsidP="006D4956" w:rsidRDefault="007912B2">
            <w:pPr>
              <w:jc w:val="right"/>
            </w:pPr>
          </w:p>
          <w:p w:rsidR="007912B2" w:rsidP="006D4956" w:rsidRDefault="007912B2">
            <w:pPr>
              <w:jc w:val="right"/>
            </w:pPr>
          </w:p>
        </w:tc>
        <w:tc>
          <w:tcPr>
            <w:tcW w:w="1101" w:type="dxa"/>
            <w:gridSpan w:val="2"/>
          </w:tcPr>
          <w:p w:rsidR="007912B2" w:rsidP="006D4956" w:rsidRDefault="007912B2">
            <w:pPr>
              <w:jc w:val="right"/>
            </w:pPr>
          </w:p>
          <w:p w:rsidR="007912B2" w:rsidP="006D4956" w:rsidRDefault="007912B2">
            <w:pPr>
              <w:jc w:val="right"/>
            </w:pPr>
            <w:r>
              <w:t>(E)</w:t>
            </w:r>
          </w:p>
          <w:p w:rsidR="007912B2" w:rsidP="006D4956" w:rsidRDefault="007912B2">
            <w:pPr>
              <w:jc w:val="right"/>
            </w:pPr>
            <w:r>
              <w:t>0.009</w:t>
            </w:r>
          </w:p>
          <w:p w:rsidR="007912B2" w:rsidP="006D4956" w:rsidRDefault="007912B2">
            <w:pPr>
              <w:jc w:val="right"/>
            </w:pPr>
            <w:r>
              <w:t>-0.023</w:t>
            </w:r>
          </w:p>
          <w:p w:rsidR="007912B2" w:rsidP="006D4956" w:rsidRDefault="007912B2">
            <w:pPr>
              <w:jc w:val="right"/>
            </w:pPr>
            <w:r>
              <w:t>-0.028</w:t>
            </w:r>
          </w:p>
          <w:p w:rsidR="007912B2" w:rsidP="006D4956" w:rsidRDefault="007912B2">
            <w:pPr>
              <w:jc w:val="right"/>
            </w:pPr>
            <w:r>
              <w:t>-0.021</w:t>
            </w:r>
          </w:p>
        </w:tc>
        <w:tc>
          <w:tcPr>
            <w:tcW w:w="1026" w:type="dxa"/>
          </w:tcPr>
          <w:p w:rsidR="007912B2" w:rsidP="006D4956" w:rsidRDefault="007912B2">
            <w:pPr>
              <w:jc w:val="right"/>
            </w:pP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-0.001</w:t>
            </w:r>
          </w:p>
          <w:p w:rsidR="007912B2" w:rsidP="006D4956" w:rsidRDefault="007912B2">
            <w:pPr>
              <w:jc w:val="right"/>
            </w:pPr>
            <w:r>
              <w:t>-0.034</w:t>
            </w:r>
            <w:r w:rsidRPr="00D92E3E">
              <w:rPr>
                <w:vertAlign w:val="superscript"/>
              </w:rPr>
              <w:t>++</w:t>
            </w:r>
          </w:p>
          <w:p w:rsidR="007912B2" w:rsidP="006D4956" w:rsidRDefault="007912B2">
            <w:pPr>
              <w:jc w:val="right"/>
            </w:pPr>
            <w:r>
              <w:t>-0.032</w:t>
            </w:r>
          </w:p>
          <w:p w:rsidR="007912B2" w:rsidP="006D4956" w:rsidRDefault="007912B2">
            <w:pPr>
              <w:jc w:val="right"/>
            </w:pPr>
            <w:r>
              <w:t>-0.044</w:t>
            </w:r>
            <w:r w:rsidRPr="00D92E3E">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p>
          <w:p w:rsidR="007912B2" w:rsidP="006D4956" w:rsidRDefault="007912B2">
            <w:pPr>
              <w:jc w:val="right"/>
            </w:pPr>
            <w:r>
              <w:t>(E)</w:t>
            </w:r>
          </w:p>
          <w:p w:rsidR="007912B2" w:rsidP="006D4956" w:rsidRDefault="007912B2">
            <w:pPr>
              <w:jc w:val="right"/>
            </w:pPr>
            <w:r>
              <w:t>-0.003</w:t>
            </w:r>
          </w:p>
          <w:p w:rsidR="007912B2" w:rsidP="006D4956" w:rsidRDefault="007912B2">
            <w:pPr>
              <w:jc w:val="right"/>
            </w:pPr>
            <w:r>
              <w:t>-0.022</w:t>
            </w:r>
            <w:r w:rsidRPr="00DF1498">
              <w:rPr>
                <w:vertAlign w:val="superscript"/>
              </w:rPr>
              <w:t>+</w:t>
            </w:r>
          </w:p>
          <w:p w:rsidR="007912B2" w:rsidP="006D4956" w:rsidRDefault="007912B2">
            <w:pPr>
              <w:jc w:val="right"/>
            </w:pPr>
            <w:r>
              <w:t>-0.033</w:t>
            </w:r>
            <w:r w:rsidRPr="00DF1498">
              <w:rPr>
                <w:vertAlign w:val="superscript"/>
              </w:rPr>
              <w:t>++</w:t>
            </w:r>
          </w:p>
          <w:p w:rsidR="007912B2" w:rsidP="006D4956" w:rsidRDefault="007912B2">
            <w:pPr>
              <w:jc w:val="right"/>
            </w:pPr>
            <w:r>
              <w:t>-0.018</w:t>
            </w:r>
          </w:p>
        </w:tc>
      </w:tr>
      <w:tr w:rsidR="007912B2" w:rsidTr="006D4956">
        <w:trPr>
          <w:jc w:val="center"/>
        </w:trPr>
        <w:tc>
          <w:tcPr>
            <w:tcW w:w="3397" w:type="dxa"/>
          </w:tcPr>
          <w:p w:rsidRPr="00267A0D" w:rsidR="007912B2" w:rsidP="006D4956" w:rsidRDefault="007912B2">
            <w:pPr>
              <w:rPr>
                <w:i/>
              </w:rPr>
            </w:pPr>
            <w:r>
              <w:rPr>
                <w:i/>
              </w:rPr>
              <w:t>Labour market characteristics</w:t>
            </w:r>
          </w:p>
          <w:p w:rsidR="007912B2" w:rsidP="006D4956" w:rsidRDefault="007912B2">
            <w:r>
              <w:t>Distance from London x10</w:t>
            </w:r>
            <w:r w:rsidRPr="00856973">
              <w:rPr>
                <w:vertAlign w:val="superscript"/>
              </w:rPr>
              <w:t>3</w:t>
            </w:r>
          </w:p>
          <w:p w:rsidR="007912B2" w:rsidP="006D4956" w:rsidRDefault="007912B2">
            <w:r>
              <w:t>Population density (work)x10</w:t>
            </w:r>
            <w:r w:rsidRPr="00D833FC">
              <w:rPr>
                <w:vertAlign w:val="superscript"/>
              </w:rPr>
              <w:t>3</w:t>
            </w:r>
          </w:p>
          <w:p w:rsidRPr="003276E0" w:rsidR="007912B2" w:rsidP="006D4956" w:rsidRDefault="007912B2">
            <w:r>
              <w:t>Economic activity (work)</w:t>
            </w:r>
          </w:p>
          <w:p w:rsidRPr="003276E0" w:rsidR="007912B2" w:rsidP="006D4956" w:rsidRDefault="007912B2">
            <w:r>
              <w:t>Professional  earnings (work)</w:t>
            </w:r>
          </w:p>
          <w:p w:rsidR="007912B2" w:rsidP="006D4956" w:rsidRDefault="007912B2">
            <w:r>
              <w:t>Population density (university) x10</w:t>
            </w:r>
            <w:r w:rsidRPr="00D833FC">
              <w:rPr>
                <w:vertAlign w:val="superscript"/>
              </w:rPr>
              <w:t>3</w:t>
            </w:r>
          </w:p>
          <w:p w:rsidRPr="003276E0" w:rsidR="007912B2" w:rsidP="006D4956" w:rsidRDefault="007912B2">
            <w:r>
              <w:t>Economic activity (university)</w:t>
            </w:r>
          </w:p>
          <w:p w:rsidRPr="003276E0" w:rsidR="007912B2" w:rsidP="006D4956" w:rsidRDefault="007912B2">
            <w:r>
              <w:t>Professional earnings (university)</w:t>
            </w:r>
          </w:p>
        </w:tc>
        <w:tc>
          <w:tcPr>
            <w:tcW w:w="1026" w:type="dxa"/>
          </w:tcPr>
          <w:p w:rsidR="007912B2" w:rsidP="006D4956" w:rsidRDefault="007912B2">
            <w:pPr>
              <w:jc w:val="right"/>
            </w:pPr>
          </w:p>
          <w:p w:rsidR="007912B2" w:rsidP="006D4956" w:rsidRDefault="007912B2">
            <w:pPr>
              <w:jc w:val="right"/>
            </w:pPr>
          </w:p>
          <w:p w:rsidR="007912B2" w:rsidP="006D4956" w:rsidRDefault="007912B2">
            <w:pPr>
              <w:jc w:val="right"/>
            </w:pPr>
          </w:p>
          <w:p w:rsidR="007912B2" w:rsidP="006D4956" w:rsidRDefault="007912B2">
            <w:pPr>
              <w:jc w:val="right"/>
            </w:pPr>
          </w:p>
          <w:p w:rsidR="007912B2" w:rsidP="006D4956" w:rsidRDefault="007912B2">
            <w:pPr>
              <w:jc w:val="right"/>
            </w:pPr>
          </w:p>
          <w:p w:rsidR="007912B2" w:rsidP="006D4956" w:rsidRDefault="007912B2">
            <w:pPr>
              <w:jc w:val="right"/>
            </w:pPr>
          </w:p>
          <w:p w:rsidR="007912B2" w:rsidP="006D4956" w:rsidRDefault="007912B2">
            <w:pPr>
              <w:jc w:val="right"/>
            </w:pPr>
          </w:p>
          <w:p w:rsidR="007912B2" w:rsidP="006D4956" w:rsidRDefault="007912B2">
            <w:pPr>
              <w:jc w:val="right"/>
            </w:pPr>
          </w:p>
        </w:tc>
        <w:tc>
          <w:tcPr>
            <w:tcW w:w="1101" w:type="dxa"/>
            <w:gridSpan w:val="2"/>
          </w:tcPr>
          <w:p w:rsidR="007912B2" w:rsidP="006D4956" w:rsidRDefault="007912B2">
            <w:pPr>
              <w:jc w:val="right"/>
            </w:pPr>
          </w:p>
          <w:p w:rsidR="007912B2" w:rsidP="006D4956" w:rsidRDefault="007912B2">
            <w:pPr>
              <w:jc w:val="right"/>
            </w:pPr>
            <w:r>
              <w:t>-0.296</w:t>
            </w:r>
            <w:r w:rsidRPr="00856973">
              <w:rPr>
                <w:vertAlign w:val="superscript"/>
              </w:rPr>
              <w:t>+++</w:t>
            </w:r>
          </w:p>
          <w:p w:rsidR="007912B2" w:rsidP="006D4956" w:rsidRDefault="007912B2">
            <w:pPr>
              <w:jc w:val="right"/>
            </w:pPr>
            <w:r>
              <w:t>-0.018</w:t>
            </w:r>
          </w:p>
          <w:p w:rsidR="007912B2" w:rsidP="006D4956" w:rsidRDefault="007912B2">
            <w:pPr>
              <w:jc w:val="right"/>
            </w:pPr>
            <w:r>
              <w:t>0.036</w:t>
            </w:r>
          </w:p>
          <w:p w:rsidR="007912B2" w:rsidP="006D4956" w:rsidRDefault="007912B2">
            <w:pPr>
              <w:jc w:val="right"/>
            </w:pPr>
            <w:r>
              <w:t>0.001</w:t>
            </w:r>
          </w:p>
          <w:p w:rsidR="007912B2" w:rsidP="006D4956" w:rsidRDefault="007912B2">
            <w:pPr>
              <w:jc w:val="right"/>
            </w:pPr>
            <w:r>
              <w:t>-0.024</w:t>
            </w:r>
          </w:p>
          <w:p w:rsidR="007912B2" w:rsidP="006D4956" w:rsidRDefault="007912B2">
            <w:pPr>
              <w:jc w:val="right"/>
            </w:pPr>
            <w:r>
              <w:t>0.004</w:t>
            </w:r>
          </w:p>
          <w:p w:rsidR="007912B2" w:rsidP="006D4956" w:rsidRDefault="007912B2">
            <w:pPr>
              <w:jc w:val="right"/>
            </w:pPr>
            <w:r>
              <w:t>-0.001</w:t>
            </w:r>
          </w:p>
        </w:tc>
        <w:tc>
          <w:tcPr>
            <w:tcW w:w="1026" w:type="dxa"/>
          </w:tcPr>
          <w:p w:rsidR="007912B2" w:rsidP="006D4956" w:rsidRDefault="007912B2">
            <w:pPr>
              <w:jc w:val="right"/>
            </w:pPr>
          </w:p>
        </w:tc>
        <w:tc>
          <w:tcPr>
            <w:tcW w:w="1026" w:type="dxa"/>
          </w:tcPr>
          <w:p w:rsidR="007912B2" w:rsidP="006D4956" w:rsidRDefault="007912B2">
            <w:pPr>
              <w:jc w:val="right"/>
            </w:pPr>
          </w:p>
          <w:p w:rsidR="007912B2" w:rsidP="006D4956" w:rsidRDefault="007912B2">
            <w:pPr>
              <w:jc w:val="right"/>
            </w:pPr>
            <w:r>
              <w:t>0.119</w:t>
            </w:r>
          </w:p>
          <w:p w:rsidR="007912B2" w:rsidP="006D4956" w:rsidRDefault="007912B2">
            <w:pPr>
              <w:jc w:val="right"/>
            </w:pPr>
            <w:r>
              <w:t>0.000</w:t>
            </w:r>
          </w:p>
          <w:p w:rsidR="007912B2" w:rsidP="006D4956" w:rsidRDefault="007912B2">
            <w:pPr>
              <w:jc w:val="right"/>
            </w:pPr>
            <w:r>
              <w:t>0.032</w:t>
            </w:r>
            <w:r w:rsidRPr="00D92E3E">
              <w:rPr>
                <w:vertAlign w:val="superscript"/>
              </w:rPr>
              <w:t>+++</w:t>
            </w:r>
          </w:p>
          <w:p w:rsidR="007912B2" w:rsidP="006D4956" w:rsidRDefault="007912B2">
            <w:pPr>
              <w:jc w:val="right"/>
            </w:pPr>
            <w:r>
              <w:t>0.001</w:t>
            </w:r>
            <w:r w:rsidRPr="00D92E3E">
              <w:rPr>
                <w:vertAlign w:val="superscript"/>
              </w:rPr>
              <w:t>++</w:t>
            </w:r>
          </w:p>
          <w:p w:rsidR="007912B2" w:rsidP="006D4956" w:rsidRDefault="007912B2">
            <w:pPr>
              <w:jc w:val="right"/>
            </w:pPr>
            <w:r>
              <w:t>0.044</w:t>
            </w:r>
            <w:r w:rsidRPr="00D92E3E">
              <w:rPr>
                <w:vertAlign w:val="superscript"/>
              </w:rPr>
              <w:t>++</w:t>
            </w:r>
          </w:p>
          <w:p w:rsidR="007912B2" w:rsidP="006D4956" w:rsidRDefault="007912B2">
            <w:pPr>
              <w:jc w:val="right"/>
            </w:pPr>
            <w:r>
              <w:t>0.009</w:t>
            </w:r>
            <w:r w:rsidRPr="00D92E3E">
              <w:rPr>
                <w:vertAlign w:val="superscript"/>
              </w:rPr>
              <w:t>++</w:t>
            </w:r>
          </w:p>
          <w:p w:rsidR="007912B2" w:rsidP="006D4956" w:rsidRDefault="007912B2">
            <w:pPr>
              <w:jc w:val="right"/>
            </w:pPr>
            <w:r>
              <w:t>-0.002</w:t>
            </w:r>
            <w:r w:rsidRPr="00D92E3E">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p>
          <w:p w:rsidR="007912B2" w:rsidP="006D4956" w:rsidRDefault="007912B2">
            <w:pPr>
              <w:jc w:val="right"/>
            </w:pPr>
            <w:r>
              <w:t>0.311</w:t>
            </w:r>
            <w:r w:rsidRPr="00DF1498">
              <w:rPr>
                <w:vertAlign w:val="superscript"/>
              </w:rPr>
              <w:t>+++</w:t>
            </w:r>
          </w:p>
          <w:p w:rsidR="007912B2" w:rsidP="006D4956" w:rsidRDefault="007912B2">
            <w:pPr>
              <w:jc w:val="right"/>
            </w:pPr>
            <w:r>
              <w:t>0.037</w:t>
            </w:r>
            <w:r w:rsidRPr="00DF1498">
              <w:rPr>
                <w:vertAlign w:val="superscript"/>
              </w:rPr>
              <w:t>++</w:t>
            </w:r>
          </w:p>
          <w:p w:rsidR="007912B2" w:rsidP="006D4956" w:rsidRDefault="007912B2">
            <w:pPr>
              <w:jc w:val="right"/>
            </w:pPr>
            <w:r>
              <w:t>0.023</w:t>
            </w:r>
            <w:r w:rsidRPr="00DF1498">
              <w:rPr>
                <w:vertAlign w:val="superscript"/>
              </w:rPr>
              <w:t>+++</w:t>
            </w:r>
          </w:p>
          <w:p w:rsidR="007912B2" w:rsidP="006D4956" w:rsidRDefault="007912B2">
            <w:pPr>
              <w:jc w:val="right"/>
            </w:pPr>
            <w:r>
              <w:t>0.000</w:t>
            </w:r>
          </w:p>
          <w:p w:rsidR="007912B2" w:rsidP="006D4956" w:rsidRDefault="007912B2">
            <w:pPr>
              <w:jc w:val="right"/>
            </w:pPr>
            <w:r>
              <w:t>0.041</w:t>
            </w:r>
            <w:r w:rsidRPr="00DF1498">
              <w:rPr>
                <w:vertAlign w:val="superscript"/>
              </w:rPr>
              <w:t>+++</w:t>
            </w:r>
          </w:p>
          <w:p w:rsidR="007912B2" w:rsidP="006D4956" w:rsidRDefault="007912B2">
            <w:pPr>
              <w:jc w:val="right"/>
            </w:pPr>
            <w:r>
              <w:t>0.005</w:t>
            </w:r>
            <w:r w:rsidRPr="00DF1498">
              <w:rPr>
                <w:vertAlign w:val="superscript"/>
              </w:rPr>
              <w:t>+</w:t>
            </w:r>
          </w:p>
          <w:p w:rsidR="007912B2" w:rsidP="006D4956" w:rsidRDefault="007912B2">
            <w:pPr>
              <w:jc w:val="right"/>
            </w:pPr>
            <w:r>
              <w:t>-0.002</w:t>
            </w:r>
            <w:r w:rsidRPr="00DF1498">
              <w:rPr>
                <w:vertAlign w:val="superscript"/>
              </w:rPr>
              <w:t>+++</w:t>
            </w:r>
          </w:p>
        </w:tc>
      </w:tr>
      <w:tr w:rsidR="007912B2" w:rsidTr="006D4956">
        <w:trPr>
          <w:jc w:val="center"/>
        </w:trPr>
        <w:tc>
          <w:tcPr>
            <w:tcW w:w="3397" w:type="dxa"/>
          </w:tcPr>
          <w:p w:rsidRPr="00C41880" w:rsidR="007912B2" w:rsidP="006D4956" w:rsidRDefault="007912B2">
            <w:pPr>
              <w:rPr>
                <w:i/>
              </w:rPr>
            </w:pPr>
            <w:r w:rsidRPr="00C41880">
              <w:rPr>
                <w:i/>
              </w:rPr>
              <w:t xml:space="preserve">Region of </w:t>
            </w:r>
            <w:r>
              <w:rPr>
                <w:i/>
              </w:rPr>
              <w:t>domicile</w:t>
            </w:r>
          </w:p>
          <w:p w:rsidR="007912B2" w:rsidP="006D4956" w:rsidRDefault="007912B2">
            <w:r>
              <w:t>North East</w:t>
            </w:r>
          </w:p>
          <w:p w:rsidR="007912B2" w:rsidP="006D4956" w:rsidRDefault="007912B2">
            <w:r>
              <w:t>North West</w:t>
            </w:r>
          </w:p>
          <w:p w:rsidR="007912B2" w:rsidP="006D4956" w:rsidRDefault="007912B2">
            <w:r>
              <w:t>Yorkshire &amp; Humberside</w:t>
            </w:r>
          </w:p>
          <w:p w:rsidR="007912B2" w:rsidP="006D4956" w:rsidRDefault="007912B2">
            <w:r>
              <w:t>East Midlands</w:t>
            </w:r>
          </w:p>
          <w:p w:rsidR="007912B2" w:rsidP="006D4956" w:rsidRDefault="007912B2">
            <w:r>
              <w:t>West Midlands</w:t>
            </w:r>
          </w:p>
          <w:p w:rsidR="007912B2" w:rsidP="006D4956" w:rsidRDefault="007912B2">
            <w:r>
              <w:t>Eastern</w:t>
            </w:r>
          </w:p>
          <w:p w:rsidR="007912B2" w:rsidP="006D4956" w:rsidRDefault="007912B2">
            <w:r>
              <w:t>London</w:t>
            </w:r>
          </w:p>
          <w:p w:rsidR="007912B2" w:rsidP="006D4956" w:rsidRDefault="007912B2">
            <w:r>
              <w:t>South East</w:t>
            </w:r>
          </w:p>
          <w:p w:rsidR="007912B2" w:rsidP="006D4956" w:rsidRDefault="007912B2">
            <w:r>
              <w:t>South West</w:t>
            </w:r>
          </w:p>
          <w:p w:rsidR="007912B2" w:rsidP="006D4956" w:rsidRDefault="007912B2">
            <w:r>
              <w:t>Wales</w:t>
            </w:r>
          </w:p>
          <w:p w:rsidR="007912B2" w:rsidP="006D4956" w:rsidRDefault="007912B2">
            <w:r>
              <w:t>Scotland</w:t>
            </w:r>
          </w:p>
          <w:p w:rsidR="007912B2" w:rsidP="006D4956" w:rsidRDefault="007912B2">
            <w:r>
              <w:t>Northern Ireland</w:t>
            </w:r>
          </w:p>
        </w:tc>
        <w:tc>
          <w:tcPr>
            <w:tcW w:w="1026" w:type="dxa"/>
          </w:tcPr>
          <w:p w:rsidR="007912B2" w:rsidP="006D4956" w:rsidRDefault="007912B2">
            <w:pPr>
              <w:jc w:val="right"/>
            </w:pPr>
          </w:p>
          <w:p w:rsidR="007912B2" w:rsidP="006D4956" w:rsidRDefault="007912B2">
            <w:pPr>
              <w:jc w:val="right"/>
            </w:pPr>
            <w:r>
              <w:t>-0.180</w:t>
            </w:r>
            <w:r w:rsidRPr="00902005">
              <w:rPr>
                <w:vertAlign w:val="superscript"/>
              </w:rPr>
              <w:t>+++</w:t>
            </w:r>
          </w:p>
          <w:p w:rsidR="007912B2" w:rsidP="006D4956" w:rsidRDefault="007912B2">
            <w:pPr>
              <w:jc w:val="right"/>
            </w:pPr>
            <w:r>
              <w:t>-0.193</w:t>
            </w:r>
            <w:r w:rsidRPr="00902005">
              <w:rPr>
                <w:vertAlign w:val="superscript"/>
              </w:rPr>
              <w:t>+++</w:t>
            </w:r>
          </w:p>
          <w:p w:rsidR="007912B2" w:rsidP="006D4956" w:rsidRDefault="007912B2">
            <w:pPr>
              <w:jc w:val="right"/>
            </w:pPr>
            <w:r>
              <w:t>-0.151</w:t>
            </w:r>
            <w:r w:rsidRPr="00902005">
              <w:rPr>
                <w:vertAlign w:val="superscript"/>
              </w:rPr>
              <w:t>+++</w:t>
            </w:r>
          </w:p>
          <w:p w:rsidR="007912B2" w:rsidP="006D4956" w:rsidRDefault="007912B2">
            <w:pPr>
              <w:jc w:val="right"/>
            </w:pPr>
            <w:r>
              <w:t>(E)</w:t>
            </w:r>
          </w:p>
          <w:p w:rsidR="007912B2" w:rsidP="006D4956" w:rsidRDefault="007912B2">
            <w:pPr>
              <w:jc w:val="right"/>
            </w:pPr>
            <w:r>
              <w:t>-0.054</w:t>
            </w:r>
          </w:p>
          <w:p w:rsidR="007912B2" w:rsidP="006D4956" w:rsidRDefault="007912B2">
            <w:pPr>
              <w:jc w:val="right"/>
            </w:pPr>
            <w:r>
              <w:t>0.044</w:t>
            </w:r>
          </w:p>
          <w:p w:rsidR="007912B2" w:rsidP="006D4956" w:rsidRDefault="007912B2">
            <w:pPr>
              <w:jc w:val="right"/>
            </w:pPr>
            <w:r>
              <w:t>-0.443</w:t>
            </w:r>
            <w:r w:rsidRPr="00902005">
              <w:rPr>
                <w:vertAlign w:val="superscript"/>
              </w:rPr>
              <w:t>+++</w:t>
            </w:r>
          </w:p>
          <w:p w:rsidR="007912B2" w:rsidP="006D4956" w:rsidRDefault="007912B2">
            <w:pPr>
              <w:jc w:val="right"/>
            </w:pPr>
            <w:r>
              <w:t>0.026</w:t>
            </w:r>
          </w:p>
          <w:p w:rsidR="007912B2" w:rsidP="006D4956" w:rsidRDefault="007912B2">
            <w:pPr>
              <w:jc w:val="right"/>
            </w:pPr>
            <w:r>
              <w:t>-0.002</w:t>
            </w:r>
          </w:p>
          <w:p w:rsidR="007912B2" w:rsidP="006D4956" w:rsidRDefault="007912B2">
            <w:pPr>
              <w:jc w:val="right"/>
            </w:pPr>
            <w:r>
              <w:t>-0.123</w:t>
            </w:r>
            <w:r w:rsidRPr="00902005">
              <w:rPr>
                <w:vertAlign w:val="superscript"/>
              </w:rPr>
              <w:t>+++</w:t>
            </w:r>
          </w:p>
          <w:p w:rsidR="007912B2" w:rsidP="006D4956" w:rsidRDefault="007912B2">
            <w:pPr>
              <w:jc w:val="right"/>
            </w:pPr>
            <w:r>
              <w:t>-0.366</w:t>
            </w:r>
            <w:r w:rsidRPr="00902005">
              <w:rPr>
                <w:vertAlign w:val="superscript"/>
              </w:rPr>
              <w:t>+++</w:t>
            </w:r>
          </w:p>
          <w:p w:rsidR="007912B2" w:rsidP="006D4956" w:rsidRDefault="007912B2">
            <w:pPr>
              <w:jc w:val="right"/>
            </w:pPr>
            <w:r>
              <w:t>-0.060</w:t>
            </w:r>
          </w:p>
        </w:tc>
        <w:tc>
          <w:tcPr>
            <w:tcW w:w="1101" w:type="dxa"/>
            <w:gridSpan w:val="2"/>
          </w:tcPr>
          <w:p w:rsidR="007912B2" w:rsidP="006D4956" w:rsidRDefault="007912B2">
            <w:pPr>
              <w:jc w:val="right"/>
            </w:pPr>
          </w:p>
          <w:p w:rsidR="007912B2" w:rsidP="006D4956" w:rsidRDefault="007912B2">
            <w:pPr>
              <w:jc w:val="right"/>
            </w:pPr>
            <w:r>
              <w:t>0.118</w:t>
            </w:r>
            <w:r w:rsidRPr="00776C71">
              <w:rPr>
                <w:vertAlign w:val="superscript"/>
              </w:rPr>
              <w:t>++</w:t>
            </w:r>
          </w:p>
          <w:p w:rsidR="007912B2" w:rsidP="006D4956" w:rsidRDefault="007912B2">
            <w:pPr>
              <w:jc w:val="right"/>
            </w:pPr>
            <w:r>
              <w:t>-0.033</w:t>
            </w:r>
          </w:p>
          <w:p w:rsidR="007912B2" w:rsidP="006D4956" w:rsidRDefault="007912B2">
            <w:pPr>
              <w:jc w:val="right"/>
            </w:pPr>
            <w:r>
              <w:t>-0.027</w:t>
            </w:r>
          </w:p>
          <w:p w:rsidR="007912B2" w:rsidP="006D4956" w:rsidRDefault="007912B2">
            <w:pPr>
              <w:jc w:val="right"/>
            </w:pPr>
            <w:r>
              <w:t>(E)</w:t>
            </w:r>
          </w:p>
          <w:p w:rsidR="007912B2" w:rsidP="006D4956" w:rsidRDefault="007912B2">
            <w:pPr>
              <w:jc w:val="right"/>
            </w:pPr>
            <w:r>
              <w:t>0.006</w:t>
            </w:r>
          </w:p>
          <w:p w:rsidR="007912B2" w:rsidP="006D4956" w:rsidRDefault="007912B2">
            <w:pPr>
              <w:jc w:val="right"/>
            </w:pPr>
            <w:r>
              <w:t>0.057</w:t>
            </w:r>
          </w:p>
          <w:p w:rsidR="007912B2" w:rsidP="006D4956" w:rsidRDefault="007912B2">
            <w:pPr>
              <w:jc w:val="right"/>
            </w:pPr>
            <w:r>
              <w:t>-0.137</w:t>
            </w:r>
            <w:r w:rsidRPr="00776C71">
              <w:rPr>
                <w:vertAlign w:val="superscript"/>
              </w:rPr>
              <w:t>+++</w:t>
            </w:r>
          </w:p>
          <w:p w:rsidR="007912B2" w:rsidP="006D4956" w:rsidRDefault="007912B2">
            <w:pPr>
              <w:jc w:val="right"/>
            </w:pPr>
            <w:r>
              <w:t>-0.011</w:t>
            </w:r>
          </w:p>
          <w:p w:rsidR="007912B2" w:rsidP="006D4956" w:rsidRDefault="007912B2">
            <w:pPr>
              <w:jc w:val="right"/>
            </w:pPr>
            <w:r>
              <w:t>0.005</w:t>
            </w:r>
          </w:p>
          <w:p w:rsidR="007912B2" w:rsidP="006D4956" w:rsidRDefault="007912B2">
            <w:pPr>
              <w:jc w:val="right"/>
            </w:pPr>
            <w:r>
              <w:t>-0.076</w:t>
            </w:r>
            <w:r w:rsidRPr="00776C71">
              <w:rPr>
                <w:vertAlign w:val="superscript"/>
              </w:rPr>
              <w:t>++</w:t>
            </w:r>
          </w:p>
          <w:p w:rsidR="007912B2" w:rsidP="006D4956" w:rsidRDefault="007912B2">
            <w:pPr>
              <w:jc w:val="right"/>
            </w:pPr>
            <w:r>
              <w:t>-0.250</w:t>
            </w:r>
            <w:r w:rsidRPr="00776C71">
              <w:rPr>
                <w:vertAlign w:val="superscript"/>
              </w:rPr>
              <w:t>+++</w:t>
            </w:r>
          </w:p>
          <w:p w:rsidR="007912B2" w:rsidP="006D4956" w:rsidRDefault="007912B2">
            <w:pPr>
              <w:jc w:val="right"/>
            </w:pPr>
            <w:r>
              <w:t>0.079</w:t>
            </w:r>
            <w:r w:rsidRPr="00776C71">
              <w:rPr>
                <w:vertAlign w:val="superscript"/>
              </w:rPr>
              <w:t>+</w:t>
            </w:r>
          </w:p>
        </w:tc>
        <w:tc>
          <w:tcPr>
            <w:tcW w:w="1026" w:type="dxa"/>
          </w:tcPr>
          <w:p w:rsidR="007912B2" w:rsidP="006D4956" w:rsidRDefault="007912B2">
            <w:pPr>
              <w:jc w:val="right"/>
            </w:pPr>
          </w:p>
          <w:p w:rsidR="007912B2" w:rsidP="006D4956" w:rsidRDefault="007912B2">
            <w:pPr>
              <w:jc w:val="right"/>
            </w:pPr>
            <w:r>
              <w:t>-0.116</w:t>
            </w:r>
            <w:r w:rsidRPr="00904A61">
              <w:rPr>
                <w:vertAlign w:val="superscript"/>
              </w:rPr>
              <w:t>++</w:t>
            </w:r>
          </w:p>
          <w:p w:rsidR="007912B2" w:rsidP="006D4956" w:rsidRDefault="007912B2">
            <w:pPr>
              <w:jc w:val="right"/>
            </w:pPr>
            <w:r>
              <w:t>-0.211</w:t>
            </w:r>
            <w:r w:rsidRPr="00904A61">
              <w:rPr>
                <w:vertAlign w:val="superscript"/>
              </w:rPr>
              <w:t>+++</w:t>
            </w:r>
          </w:p>
          <w:p w:rsidR="007912B2" w:rsidP="006D4956" w:rsidRDefault="007912B2">
            <w:pPr>
              <w:jc w:val="right"/>
            </w:pPr>
            <w:r>
              <w:t>-0.168</w:t>
            </w:r>
            <w:r w:rsidRPr="00904A61">
              <w:rPr>
                <w:vertAlign w:val="superscript"/>
              </w:rPr>
              <w:t>+++</w:t>
            </w:r>
          </w:p>
          <w:p w:rsidR="007912B2" w:rsidP="006D4956" w:rsidRDefault="007912B2">
            <w:pPr>
              <w:jc w:val="right"/>
            </w:pPr>
            <w:r>
              <w:t>(E)</w:t>
            </w:r>
          </w:p>
          <w:p w:rsidR="007912B2" w:rsidP="006D4956" w:rsidRDefault="007912B2">
            <w:pPr>
              <w:jc w:val="right"/>
            </w:pPr>
            <w:r>
              <w:t>-0.067</w:t>
            </w:r>
            <w:r w:rsidRPr="00904A61">
              <w:rPr>
                <w:vertAlign w:val="superscript"/>
              </w:rPr>
              <w:t>+</w:t>
            </w:r>
          </w:p>
          <w:p w:rsidR="007912B2" w:rsidP="006D4956" w:rsidRDefault="007912B2">
            <w:pPr>
              <w:jc w:val="right"/>
            </w:pPr>
            <w:r>
              <w:t>0.036</w:t>
            </w:r>
          </w:p>
          <w:p w:rsidR="007912B2" w:rsidP="006D4956" w:rsidRDefault="007912B2">
            <w:pPr>
              <w:jc w:val="right"/>
            </w:pPr>
            <w:r>
              <w:t>-0.327</w:t>
            </w:r>
            <w:r w:rsidRPr="00904A61">
              <w:rPr>
                <w:vertAlign w:val="superscript"/>
              </w:rPr>
              <w:t>+++</w:t>
            </w:r>
          </w:p>
          <w:p w:rsidR="007912B2" w:rsidP="006D4956" w:rsidRDefault="007912B2">
            <w:pPr>
              <w:jc w:val="right"/>
            </w:pPr>
            <w:r>
              <w:t>-0.039</w:t>
            </w:r>
          </w:p>
          <w:p w:rsidR="007912B2" w:rsidP="006D4956" w:rsidRDefault="007912B2">
            <w:pPr>
              <w:jc w:val="right"/>
            </w:pPr>
            <w:r>
              <w:t>-0.004</w:t>
            </w:r>
          </w:p>
          <w:p w:rsidR="007912B2" w:rsidP="006D4956" w:rsidRDefault="007912B2">
            <w:pPr>
              <w:jc w:val="right"/>
            </w:pPr>
            <w:r>
              <w:t>-0.148</w:t>
            </w:r>
            <w:r w:rsidRPr="00904A61">
              <w:rPr>
                <w:vertAlign w:val="superscript"/>
              </w:rPr>
              <w:t>+++</w:t>
            </w:r>
          </w:p>
          <w:p w:rsidR="007912B2" w:rsidP="006D4956" w:rsidRDefault="007912B2">
            <w:pPr>
              <w:jc w:val="right"/>
            </w:pPr>
            <w:r>
              <w:t>-0.374</w:t>
            </w:r>
            <w:r w:rsidRPr="00904A61">
              <w:rPr>
                <w:vertAlign w:val="superscript"/>
              </w:rPr>
              <w:t>+++</w:t>
            </w:r>
          </w:p>
          <w:p w:rsidR="007912B2" w:rsidP="006D4956" w:rsidRDefault="007912B2">
            <w:pPr>
              <w:jc w:val="right"/>
            </w:pPr>
            <w:r>
              <w:t>-0.089</w:t>
            </w:r>
            <w:r w:rsidRPr="00904A61">
              <w:rPr>
                <w:vertAlign w:val="superscript"/>
              </w:rPr>
              <w:t>++</w:t>
            </w:r>
          </w:p>
        </w:tc>
        <w:tc>
          <w:tcPr>
            <w:tcW w:w="1026" w:type="dxa"/>
          </w:tcPr>
          <w:p w:rsidR="007912B2" w:rsidP="006D4956" w:rsidRDefault="007912B2">
            <w:pPr>
              <w:jc w:val="right"/>
            </w:pPr>
          </w:p>
          <w:p w:rsidR="007912B2" w:rsidP="006D4956" w:rsidRDefault="007912B2">
            <w:pPr>
              <w:jc w:val="right"/>
            </w:pPr>
            <w:r>
              <w:t>0.105</w:t>
            </w:r>
            <w:r w:rsidRPr="00BE48C8">
              <w:rPr>
                <w:vertAlign w:val="superscript"/>
              </w:rPr>
              <w:t>++</w:t>
            </w:r>
          </w:p>
          <w:p w:rsidR="007912B2" w:rsidP="006D4956" w:rsidRDefault="007912B2">
            <w:pPr>
              <w:jc w:val="right"/>
            </w:pPr>
            <w:r>
              <w:t>-0.058</w:t>
            </w:r>
            <w:r w:rsidRPr="00BE48C8">
              <w:rPr>
                <w:vertAlign w:val="superscript"/>
              </w:rPr>
              <w:t>+</w:t>
            </w:r>
          </w:p>
          <w:p w:rsidR="007912B2" w:rsidP="006D4956" w:rsidRDefault="007912B2">
            <w:pPr>
              <w:jc w:val="right"/>
            </w:pPr>
            <w:r>
              <w:t>-0.012</w:t>
            </w:r>
          </w:p>
          <w:p w:rsidR="007912B2" w:rsidP="006D4956" w:rsidRDefault="007912B2">
            <w:pPr>
              <w:jc w:val="right"/>
            </w:pPr>
            <w:r>
              <w:t>0.008</w:t>
            </w:r>
          </w:p>
          <w:p w:rsidR="007912B2" w:rsidP="006D4956" w:rsidRDefault="007912B2">
            <w:pPr>
              <w:jc w:val="right"/>
            </w:pPr>
            <w:r>
              <w:t>0.081</w:t>
            </w:r>
            <w:r w:rsidRPr="00BE48C8">
              <w:rPr>
                <w:vertAlign w:val="superscript"/>
              </w:rPr>
              <w:t>++</w:t>
            </w:r>
          </w:p>
          <w:p w:rsidR="007912B2" w:rsidP="006D4956" w:rsidRDefault="007912B2">
            <w:pPr>
              <w:jc w:val="right"/>
            </w:pPr>
            <w:r>
              <w:t>-0.163</w:t>
            </w:r>
            <w:r w:rsidRPr="00BE48C8">
              <w:rPr>
                <w:vertAlign w:val="superscript"/>
              </w:rPr>
              <w:t>+++</w:t>
            </w:r>
          </w:p>
          <w:p w:rsidR="007912B2" w:rsidP="006D4956" w:rsidRDefault="007912B2">
            <w:pPr>
              <w:jc w:val="right"/>
            </w:pPr>
            <w:r>
              <w:t>-0.010</w:t>
            </w:r>
          </w:p>
          <w:p w:rsidR="007912B2" w:rsidP="006D4956" w:rsidRDefault="007912B2">
            <w:pPr>
              <w:jc w:val="right"/>
            </w:pPr>
            <w:r>
              <w:t>0.011</w:t>
            </w:r>
          </w:p>
          <w:p w:rsidR="007912B2" w:rsidP="006D4956" w:rsidRDefault="007912B2">
            <w:pPr>
              <w:jc w:val="right"/>
            </w:pPr>
            <w:r>
              <w:t>-0.069</w:t>
            </w:r>
            <w:r w:rsidRPr="00BE48C8">
              <w:rPr>
                <w:vertAlign w:val="superscript"/>
              </w:rPr>
              <w:t>++</w:t>
            </w:r>
          </w:p>
          <w:p w:rsidR="007912B2" w:rsidP="006D4956" w:rsidRDefault="007912B2">
            <w:pPr>
              <w:jc w:val="right"/>
            </w:pPr>
            <w:r>
              <w:t>-0.261</w:t>
            </w:r>
            <w:r w:rsidRPr="00BE48C8">
              <w:rPr>
                <w:vertAlign w:val="superscript"/>
              </w:rPr>
              <w:t>+++</w:t>
            </w:r>
          </w:p>
          <w:p w:rsidR="007912B2" w:rsidP="006D4956" w:rsidRDefault="007912B2">
            <w:pPr>
              <w:jc w:val="right"/>
            </w:pPr>
            <w:r>
              <w:t>0.027</w:t>
            </w:r>
          </w:p>
        </w:tc>
        <w:tc>
          <w:tcPr>
            <w:tcW w:w="1026" w:type="dxa"/>
          </w:tcPr>
          <w:p w:rsidR="007912B2" w:rsidP="006D4956" w:rsidRDefault="007912B2">
            <w:pPr>
              <w:jc w:val="right"/>
            </w:pPr>
          </w:p>
          <w:p w:rsidR="007912B2" w:rsidP="006D4956" w:rsidRDefault="007912B2">
            <w:pPr>
              <w:jc w:val="right"/>
            </w:pPr>
            <w:r>
              <w:t>0.118</w:t>
            </w:r>
            <w:r w:rsidRPr="00761585">
              <w:rPr>
                <w:vertAlign w:val="superscript"/>
              </w:rPr>
              <w:t>++</w:t>
            </w:r>
          </w:p>
          <w:p w:rsidR="007912B2" w:rsidP="006D4956" w:rsidRDefault="007912B2">
            <w:pPr>
              <w:jc w:val="right"/>
            </w:pPr>
            <w:r>
              <w:t>-0.097</w:t>
            </w:r>
            <w:r w:rsidRPr="00761585">
              <w:rPr>
                <w:vertAlign w:val="superscript"/>
              </w:rPr>
              <w:t>+++</w:t>
            </w:r>
          </w:p>
          <w:p w:rsidR="007912B2" w:rsidP="006D4956" w:rsidRDefault="007912B2">
            <w:pPr>
              <w:jc w:val="right"/>
            </w:pPr>
            <w:r>
              <w:t>-0.067</w:t>
            </w:r>
            <w:r w:rsidRPr="00761585">
              <w:rPr>
                <w:vertAlign w:val="superscript"/>
              </w:rPr>
              <w:t>++</w:t>
            </w:r>
          </w:p>
          <w:p w:rsidR="007912B2" w:rsidP="006D4956" w:rsidRDefault="007912B2">
            <w:pPr>
              <w:jc w:val="right"/>
            </w:pPr>
            <w:r>
              <w:t>(E)</w:t>
            </w:r>
          </w:p>
          <w:p w:rsidR="007912B2" w:rsidP="006D4956" w:rsidRDefault="007912B2">
            <w:pPr>
              <w:jc w:val="right"/>
            </w:pPr>
            <w:r>
              <w:t>0.016</w:t>
            </w:r>
          </w:p>
          <w:p w:rsidR="007912B2" w:rsidP="006D4956" w:rsidRDefault="007912B2">
            <w:pPr>
              <w:jc w:val="right"/>
            </w:pPr>
            <w:r>
              <w:t>0.087</w:t>
            </w:r>
            <w:r w:rsidRPr="00761585">
              <w:rPr>
                <w:vertAlign w:val="superscript"/>
              </w:rPr>
              <w:t>++</w:t>
            </w:r>
          </w:p>
          <w:p w:rsidR="007912B2" w:rsidP="006D4956" w:rsidRDefault="007912B2">
            <w:pPr>
              <w:jc w:val="right"/>
            </w:pPr>
            <w:r>
              <w:t>-0.112</w:t>
            </w:r>
            <w:r w:rsidRPr="00761585">
              <w:rPr>
                <w:vertAlign w:val="superscript"/>
              </w:rPr>
              <w:t>+++</w:t>
            </w:r>
          </w:p>
          <w:p w:rsidR="007912B2" w:rsidP="006D4956" w:rsidRDefault="007912B2">
            <w:pPr>
              <w:jc w:val="right"/>
            </w:pPr>
            <w:r>
              <w:t>0.053</w:t>
            </w:r>
            <w:r w:rsidRPr="00761585">
              <w:rPr>
                <w:vertAlign w:val="superscript"/>
              </w:rPr>
              <w:t>+</w:t>
            </w:r>
          </w:p>
          <w:p w:rsidR="007912B2" w:rsidP="006D4956" w:rsidRDefault="007912B2">
            <w:pPr>
              <w:jc w:val="right"/>
            </w:pPr>
            <w:r>
              <w:t>0.053</w:t>
            </w:r>
          </w:p>
          <w:p w:rsidR="007912B2" w:rsidP="006D4956" w:rsidRDefault="007912B2">
            <w:pPr>
              <w:jc w:val="right"/>
            </w:pPr>
            <w:r>
              <w:t>-0.000</w:t>
            </w:r>
          </w:p>
          <w:p w:rsidR="007912B2" w:rsidP="006D4956" w:rsidRDefault="007912B2">
            <w:pPr>
              <w:jc w:val="right"/>
            </w:pPr>
            <w:r>
              <w:t>-0.196</w:t>
            </w:r>
            <w:r w:rsidRPr="00761585">
              <w:rPr>
                <w:vertAlign w:val="superscript"/>
              </w:rPr>
              <w:t>+++</w:t>
            </w:r>
          </w:p>
          <w:p w:rsidR="007912B2" w:rsidP="006D4956" w:rsidRDefault="007912B2">
            <w:pPr>
              <w:jc w:val="right"/>
            </w:pPr>
            <w:r>
              <w:t>-0.057</w:t>
            </w:r>
            <w:r w:rsidRPr="00761585">
              <w:rPr>
                <w:vertAlign w:val="superscript"/>
              </w:rPr>
              <w:t>+</w:t>
            </w:r>
          </w:p>
        </w:tc>
        <w:tc>
          <w:tcPr>
            <w:tcW w:w="1026" w:type="dxa"/>
          </w:tcPr>
          <w:p w:rsidR="007912B2" w:rsidP="006D4956" w:rsidRDefault="007912B2">
            <w:pPr>
              <w:jc w:val="right"/>
            </w:pPr>
          </w:p>
          <w:p w:rsidR="007912B2" w:rsidP="006D4956" w:rsidRDefault="007912B2">
            <w:pPr>
              <w:jc w:val="right"/>
            </w:pPr>
            <w:r>
              <w:t>0.199</w:t>
            </w:r>
            <w:r w:rsidRPr="00DF1498">
              <w:rPr>
                <w:vertAlign w:val="superscript"/>
              </w:rPr>
              <w:t>+++</w:t>
            </w:r>
          </w:p>
          <w:p w:rsidR="007912B2" w:rsidP="006D4956" w:rsidRDefault="007912B2">
            <w:pPr>
              <w:jc w:val="right"/>
            </w:pPr>
            <w:r>
              <w:t>-0.040</w:t>
            </w:r>
          </w:p>
          <w:p w:rsidR="007912B2" w:rsidP="006D4956" w:rsidRDefault="007912B2">
            <w:pPr>
              <w:jc w:val="right"/>
            </w:pPr>
            <w:r>
              <w:t>-0.020</w:t>
            </w:r>
          </w:p>
          <w:p w:rsidR="007912B2" w:rsidP="006D4956" w:rsidRDefault="007912B2">
            <w:pPr>
              <w:jc w:val="right"/>
            </w:pPr>
            <w:r>
              <w:t>(E)</w:t>
            </w:r>
          </w:p>
          <w:p w:rsidR="007912B2" w:rsidP="006D4956" w:rsidRDefault="007912B2">
            <w:pPr>
              <w:jc w:val="right"/>
            </w:pPr>
            <w:r>
              <w:t>0.058</w:t>
            </w:r>
            <w:r w:rsidRPr="00DF1498">
              <w:rPr>
                <w:vertAlign w:val="superscript"/>
              </w:rPr>
              <w:t>+</w:t>
            </w:r>
          </w:p>
          <w:p w:rsidR="007912B2" w:rsidP="006D4956" w:rsidRDefault="007912B2">
            <w:pPr>
              <w:jc w:val="right"/>
            </w:pPr>
            <w:r>
              <w:t>0.120</w:t>
            </w:r>
            <w:r w:rsidRPr="00DF1498">
              <w:rPr>
                <w:vertAlign w:val="superscript"/>
              </w:rPr>
              <w:t>+++</w:t>
            </w:r>
          </w:p>
          <w:p w:rsidR="007912B2" w:rsidP="006D4956" w:rsidRDefault="007912B2">
            <w:pPr>
              <w:jc w:val="right"/>
            </w:pPr>
            <w:r>
              <w:t>-0.063</w:t>
            </w:r>
            <w:r w:rsidRPr="00DF1498">
              <w:rPr>
                <w:vertAlign w:val="superscript"/>
              </w:rPr>
              <w:t>++</w:t>
            </w:r>
          </w:p>
          <w:p w:rsidR="007912B2" w:rsidP="006D4956" w:rsidRDefault="007912B2">
            <w:pPr>
              <w:jc w:val="right"/>
            </w:pPr>
            <w:r>
              <w:t>0.035</w:t>
            </w:r>
          </w:p>
          <w:p w:rsidR="007912B2" w:rsidP="006D4956" w:rsidRDefault="007912B2">
            <w:pPr>
              <w:jc w:val="right"/>
            </w:pPr>
            <w:r>
              <w:t>0.069</w:t>
            </w:r>
            <w:r w:rsidRPr="00DF1498">
              <w:rPr>
                <w:vertAlign w:val="superscript"/>
              </w:rPr>
              <w:t>++</w:t>
            </w:r>
          </w:p>
          <w:p w:rsidR="007912B2" w:rsidP="006D4956" w:rsidRDefault="007912B2">
            <w:pPr>
              <w:jc w:val="right"/>
            </w:pPr>
            <w:r>
              <w:t>0.010</w:t>
            </w:r>
          </w:p>
          <w:p w:rsidR="007912B2" w:rsidP="006D4956" w:rsidRDefault="007912B2">
            <w:pPr>
              <w:jc w:val="right"/>
            </w:pPr>
            <w:r>
              <w:t>-0.155</w:t>
            </w:r>
            <w:r w:rsidRPr="00DF1498">
              <w:rPr>
                <w:vertAlign w:val="superscript"/>
              </w:rPr>
              <w:t>+++</w:t>
            </w:r>
          </w:p>
          <w:p w:rsidR="007912B2" w:rsidP="006D4956" w:rsidRDefault="007912B2">
            <w:pPr>
              <w:jc w:val="right"/>
            </w:pPr>
            <w:r>
              <w:t>-0.018</w:t>
            </w:r>
          </w:p>
        </w:tc>
      </w:tr>
      <w:tr w:rsidR="007912B2" w:rsidTr="006D4956">
        <w:trPr>
          <w:jc w:val="center"/>
        </w:trPr>
        <w:tc>
          <w:tcPr>
            <w:tcW w:w="3397" w:type="dxa"/>
          </w:tcPr>
          <w:p w:rsidRPr="00267A0D" w:rsidR="007912B2" w:rsidP="006D4956" w:rsidRDefault="007912B2">
            <w:r>
              <w:t>Part-time</w:t>
            </w:r>
            <w:r w:rsidRPr="00267A0D">
              <w:t xml:space="preserve"> </w:t>
            </w:r>
            <w:r>
              <w:t>worker</w:t>
            </w:r>
          </w:p>
        </w:tc>
        <w:tc>
          <w:tcPr>
            <w:tcW w:w="1026" w:type="dxa"/>
          </w:tcPr>
          <w:p w:rsidR="007912B2" w:rsidP="006D4956" w:rsidRDefault="007912B2">
            <w:pPr>
              <w:jc w:val="right"/>
            </w:pPr>
          </w:p>
        </w:tc>
        <w:tc>
          <w:tcPr>
            <w:tcW w:w="1101" w:type="dxa"/>
            <w:gridSpan w:val="2"/>
          </w:tcPr>
          <w:p w:rsidR="007912B2" w:rsidP="006D4956" w:rsidRDefault="007912B2">
            <w:r>
              <w:t>-0.046</w:t>
            </w:r>
            <w:r w:rsidRPr="00776C71">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r>
              <w:t>-0.042</w:t>
            </w:r>
            <w:r w:rsidRPr="00D92E3E">
              <w:rPr>
                <w:vertAlign w:val="superscript"/>
              </w:rPr>
              <w:t>+++</w:t>
            </w:r>
          </w:p>
        </w:tc>
        <w:tc>
          <w:tcPr>
            <w:tcW w:w="1026" w:type="dxa"/>
          </w:tcPr>
          <w:p w:rsidR="007912B2" w:rsidP="006D4956" w:rsidRDefault="007912B2">
            <w:pPr>
              <w:jc w:val="right"/>
            </w:pPr>
          </w:p>
        </w:tc>
        <w:tc>
          <w:tcPr>
            <w:tcW w:w="1026" w:type="dxa"/>
          </w:tcPr>
          <w:p w:rsidR="007912B2" w:rsidP="006D4956" w:rsidRDefault="007912B2">
            <w:pPr>
              <w:jc w:val="right"/>
            </w:pPr>
            <w:r>
              <w:t>-0.020</w:t>
            </w:r>
          </w:p>
        </w:tc>
      </w:tr>
      <w:tr w:rsidR="00D06ABF" w:rsidTr="006D4956">
        <w:trPr>
          <w:jc w:val="center"/>
        </w:trPr>
        <w:tc>
          <w:tcPr>
            <w:tcW w:w="3397" w:type="dxa"/>
          </w:tcPr>
          <w:p w:rsidR="00D06ABF" w:rsidP="006D4956" w:rsidRDefault="00D06ABF">
            <w:r>
              <w:t>Self-employed</w:t>
            </w:r>
          </w:p>
        </w:tc>
        <w:tc>
          <w:tcPr>
            <w:tcW w:w="1026" w:type="dxa"/>
          </w:tcPr>
          <w:p w:rsidR="00D06ABF" w:rsidP="006D4956" w:rsidRDefault="00D06ABF">
            <w:pPr>
              <w:jc w:val="right"/>
            </w:pPr>
          </w:p>
        </w:tc>
        <w:tc>
          <w:tcPr>
            <w:tcW w:w="1101" w:type="dxa"/>
            <w:gridSpan w:val="2"/>
          </w:tcPr>
          <w:p w:rsidR="00D06ABF" w:rsidP="006D4956" w:rsidRDefault="00D06ABF">
            <w:r>
              <w:t>-0.035</w:t>
            </w:r>
          </w:p>
        </w:tc>
        <w:tc>
          <w:tcPr>
            <w:tcW w:w="1026" w:type="dxa"/>
          </w:tcPr>
          <w:p w:rsidR="00D06ABF" w:rsidP="006D4956" w:rsidRDefault="00D06ABF">
            <w:pPr>
              <w:jc w:val="right"/>
            </w:pPr>
          </w:p>
        </w:tc>
        <w:tc>
          <w:tcPr>
            <w:tcW w:w="1026" w:type="dxa"/>
          </w:tcPr>
          <w:p w:rsidR="00D06ABF" w:rsidP="006D4956" w:rsidRDefault="00D06ABF">
            <w:pPr>
              <w:jc w:val="right"/>
            </w:pPr>
            <w:r>
              <w:t>-0.025</w:t>
            </w:r>
          </w:p>
        </w:tc>
        <w:tc>
          <w:tcPr>
            <w:tcW w:w="1026" w:type="dxa"/>
          </w:tcPr>
          <w:p w:rsidR="00D06ABF" w:rsidP="006D4956" w:rsidRDefault="00D06ABF">
            <w:pPr>
              <w:jc w:val="right"/>
            </w:pPr>
          </w:p>
        </w:tc>
        <w:tc>
          <w:tcPr>
            <w:tcW w:w="1026" w:type="dxa"/>
          </w:tcPr>
          <w:p w:rsidR="00D06ABF" w:rsidP="006D4956" w:rsidRDefault="00D06ABF">
            <w:pPr>
              <w:jc w:val="right"/>
            </w:pPr>
            <w:r>
              <w:t>0.022</w:t>
            </w:r>
          </w:p>
        </w:tc>
      </w:tr>
      <w:tr w:rsidR="00DE6EBC" w:rsidTr="006D4956">
        <w:trPr>
          <w:jc w:val="center"/>
        </w:trPr>
        <w:tc>
          <w:tcPr>
            <w:tcW w:w="9628" w:type="dxa"/>
            <w:gridSpan w:val="8"/>
          </w:tcPr>
          <w:p w:rsidR="00DE6EBC" w:rsidP="006D4956" w:rsidRDefault="00DE6EBC">
            <w:pPr>
              <w:jc w:val="right"/>
            </w:pPr>
          </w:p>
        </w:tc>
      </w:tr>
      <w:tr w:rsidR="007912B2" w:rsidTr="006D4956">
        <w:trPr>
          <w:jc w:val="center"/>
        </w:trPr>
        <w:tc>
          <w:tcPr>
            <w:tcW w:w="3397" w:type="dxa"/>
          </w:tcPr>
          <w:p w:rsidRPr="00267A0D" w:rsidR="007912B2" w:rsidP="006D4956" w:rsidRDefault="007912B2">
            <w:r>
              <w:t>Cov(ε</w:t>
            </w:r>
            <w:r w:rsidRPr="003C5A49">
              <w:rPr>
                <w:vertAlign w:val="subscript"/>
              </w:rPr>
              <w:t>1</w:t>
            </w:r>
            <w:r>
              <w:t>, ε</w:t>
            </w:r>
            <w:r w:rsidRPr="003C5A49">
              <w:rPr>
                <w:vertAlign w:val="subscript"/>
              </w:rPr>
              <w:t>2</w:t>
            </w:r>
            <w:r>
              <w:t>) - ρ</w:t>
            </w:r>
          </w:p>
        </w:tc>
        <w:tc>
          <w:tcPr>
            <w:tcW w:w="2089" w:type="dxa"/>
            <w:gridSpan w:val="2"/>
          </w:tcPr>
          <w:p w:rsidR="007912B2" w:rsidP="006D4956" w:rsidRDefault="007912B2">
            <w:pPr>
              <w:jc w:val="right"/>
            </w:pPr>
            <w:r>
              <w:t>0.733</w:t>
            </w:r>
            <w:r w:rsidRPr="00C57CB4">
              <w:rPr>
                <w:vertAlign w:val="superscript"/>
              </w:rPr>
              <w:t>+++</w:t>
            </w:r>
          </w:p>
        </w:tc>
        <w:tc>
          <w:tcPr>
            <w:tcW w:w="2090" w:type="dxa"/>
            <w:gridSpan w:val="3"/>
          </w:tcPr>
          <w:p w:rsidR="007912B2" w:rsidP="006D4956" w:rsidRDefault="007912B2">
            <w:pPr>
              <w:jc w:val="right"/>
            </w:pPr>
            <w:r>
              <w:t>0.780</w:t>
            </w:r>
            <w:r w:rsidRPr="00AC2F55">
              <w:rPr>
                <w:vertAlign w:val="superscript"/>
              </w:rPr>
              <w:t>+++</w:t>
            </w:r>
          </w:p>
        </w:tc>
        <w:tc>
          <w:tcPr>
            <w:tcW w:w="2052" w:type="dxa"/>
            <w:gridSpan w:val="2"/>
          </w:tcPr>
          <w:p w:rsidR="007912B2" w:rsidP="006D4956" w:rsidRDefault="007912B2">
            <w:pPr>
              <w:jc w:val="right"/>
            </w:pPr>
            <w:r>
              <w:t>0.809</w:t>
            </w:r>
            <w:r w:rsidRPr="00222D52">
              <w:rPr>
                <w:vertAlign w:val="superscript"/>
              </w:rPr>
              <w:t>+++</w:t>
            </w:r>
          </w:p>
        </w:tc>
      </w:tr>
      <w:tr w:rsidR="007912B2" w:rsidTr="006D4956">
        <w:trPr>
          <w:trHeight w:val="255"/>
          <w:jc w:val="center"/>
        </w:trPr>
        <w:tc>
          <w:tcPr>
            <w:tcW w:w="3397" w:type="dxa"/>
          </w:tcPr>
          <w:p w:rsidR="007912B2" w:rsidP="006D4956" w:rsidRDefault="007912B2">
            <w:r>
              <w:t>Sample size</w:t>
            </w:r>
          </w:p>
        </w:tc>
        <w:tc>
          <w:tcPr>
            <w:tcW w:w="2089" w:type="dxa"/>
            <w:gridSpan w:val="2"/>
          </w:tcPr>
          <w:p w:rsidR="007912B2" w:rsidP="006D4956" w:rsidRDefault="007912B2">
            <w:pPr>
              <w:jc w:val="right"/>
            </w:pPr>
            <w:r>
              <w:t>7,</w:t>
            </w:r>
            <w:r w:rsidR="00D06ABF">
              <w:t>433</w:t>
            </w:r>
          </w:p>
        </w:tc>
        <w:tc>
          <w:tcPr>
            <w:tcW w:w="2090" w:type="dxa"/>
            <w:gridSpan w:val="3"/>
          </w:tcPr>
          <w:p w:rsidR="007912B2" w:rsidP="006D4956" w:rsidRDefault="007912B2">
            <w:pPr>
              <w:jc w:val="right"/>
            </w:pPr>
            <w:r>
              <w:t>7,</w:t>
            </w:r>
            <w:r w:rsidR="00D06ABF">
              <w:t>433</w:t>
            </w:r>
          </w:p>
        </w:tc>
        <w:tc>
          <w:tcPr>
            <w:tcW w:w="2052" w:type="dxa"/>
            <w:gridSpan w:val="2"/>
          </w:tcPr>
          <w:p w:rsidR="007912B2" w:rsidP="006D4956" w:rsidRDefault="007912B2">
            <w:pPr>
              <w:jc w:val="right"/>
            </w:pPr>
            <w:r>
              <w:t>7,</w:t>
            </w:r>
            <w:r w:rsidR="00D06ABF">
              <w:t>433</w:t>
            </w:r>
          </w:p>
        </w:tc>
      </w:tr>
    </w:tbl>
    <w:p w:rsidR="007912B2" w:rsidP="007912B2" w:rsidRDefault="007912B2">
      <w:pPr>
        <w:spacing w:after="0" w:line="240" w:lineRule="auto"/>
      </w:pPr>
    </w:p>
    <w:p w:rsidR="005E7901" w:rsidP="005E7901" w:rsidRDefault="005E7901">
      <w:pPr>
        <w:spacing w:after="0" w:line="240" w:lineRule="auto"/>
        <w:ind w:left="709" w:hanging="709"/>
        <w:jc w:val="both"/>
      </w:pPr>
      <w:r w:rsidRPr="00603659">
        <w:rPr>
          <w:i/>
        </w:rPr>
        <w:t>Note</w:t>
      </w:r>
      <w:r>
        <w:rPr>
          <w:i/>
        </w:rPr>
        <w:t>s</w:t>
      </w:r>
      <w:r>
        <w:t>:</w:t>
      </w:r>
      <w:r>
        <w:tab/>
        <w:t xml:space="preserve">(E) denotes and excluded reference category; </w:t>
      </w:r>
      <w:r w:rsidRPr="009A57FE">
        <w:rPr>
          <w:vertAlign w:val="superscript"/>
        </w:rPr>
        <w:t>+</w:t>
      </w:r>
      <w:r>
        <w:t>/</w:t>
      </w:r>
      <w:r w:rsidRPr="009A57FE">
        <w:rPr>
          <w:vertAlign w:val="superscript"/>
        </w:rPr>
        <w:t>++</w:t>
      </w:r>
      <w:r>
        <w:t>/</w:t>
      </w:r>
      <w:r w:rsidRPr="009A57FE">
        <w:rPr>
          <w:vertAlign w:val="superscript"/>
        </w:rPr>
        <w:t>+++</w:t>
      </w:r>
      <w:r>
        <w:t xml:space="preserve"> denotes statistical significance at the 90%/95%/99% level respectively; in the likelihoo</w:t>
      </w:r>
      <w:r w:rsidRPr="00502E14">
        <w:t xml:space="preserve">d function ρ is not estimated directly but rather  atanhρ (=½ln((1+ρ)/(1-ρ))) </w:t>
      </w:r>
      <w:r w:rsidR="00937CBE">
        <w:t xml:space="preserve">is </w:t>
      </w:r>
      <w:r w:rsidRPr="00502E14">
        <w:t>and this has a coefficient value of 0.936/1.045/1.125 for the three distance thresholds respective</w:t>
      </w:r>
      <w:r>
        <w:t>ly; likelihood ratio test that atanhρ=0 (</w:t>
      </w:r>
      <m:oMath>
        <m:sSubSup>
          <m:sSubSupPr>
            <m:ctrlPr>
              <w:rPr>
                <w:rFonts w:ascii="Cambria Math" w:hAnsi="Cambria Math"/>
                <w:i/>
              </w:rPr>
            </m:ctrlPr>
          </m:sSubSupPr>
          <m:e>
            <m:r>
              <w:rPr>
                <w:rFonts w:ascii="Cambria Math" w:hAnsi="Cambria Math"/>
              </w:rPr>
              <m:t>χ</m:t>
            </m:r>
          </m:e>
          <m:sub>
            <m:r>
              <w:rPr>
                <w:rFonts w:ascii="Cambria Math" w:hAnsi="Cambria Math"/>
              </w:rPr>
              <m:t>(1)</m:t>
            </m:r>
          </m:sub>
          <m:sup>
            <m:r>
              <w:rPr>
                <w:rFonts w:ascii="Cambria Math" w:hAnsi="Cambria Math"/>
              </w:rPr>
              <m:t>2</m:t>
            </m:r>
          </m:sup>
        </m:sSubSup>
      </m:oMath>
      <w:r>
        <w:t>=1365.97/1808.62/1910.49) is easily rejected.</w:t>
      </w:r>
    </w:p>
    <w:p w:rsidR="007912B2" w:rsidP="007912B2" w:rsidRDefault="007912B2">
      <w:pPr>
        <w:spacing w:after="0" w:line="240" w:lineRule="auto"/>
      </w:pPr>
    </w:p>
    <w:p w:rsidR="007912B2" w:rsidRDefault="007912B2">
      <w:r>
        <w:br w:type="page"/>
      </w:r>
    </w:p>
    <w:p w:rsidRPr="00C02B22" w:rsidR="007912B2" w:rsidP="001734E9" w:rsidRDefault="007912B2">
      <w:pPr>
        <w:spacing w:after="0" w:line="240" w:lineRule="auto"/>
        <w:jc w:val="center"/>
        <w:outlineLvl w:val="0"/>
        <w:rPr>
          <w:b/>
        </w:rPr>
      </w:pPr>
      <w:r>
        <w:rPr>
          <w:b/>
        </w:rPr>
        <w:lastRenderedPageBreak/>
        <w:t>Appendix Table 2</w:t>
      </w:r>
    </w:p>
    <w:p w:rsidRPr="00FF41B8" w:rsidR="007912B2" w:rsidP="007912B2" w:rsidRDefault="007912B2">
      <w:pPr>
        <w:spacing w:after="0" w:line="240" w:lineRule="auto"/>
        <w:jc w:val="center"/>
        <w:outlineLvl w:val="0"/>
        <w:rPr>
          <w:b/>
        </w:rPr>
      </w:pPr>
      <w:r>
        <w:rPr>
          <w:b/>
        </w:rPr>
        <w:t xml:space="preserve">Earnings Decompositions Relative to Non-Movers by </w:t>
      </w:r>
      <w:r w:rsidR="00F2508C">
        <w:rPr>
          <w:b/>
        </w:rPr>
        <w:t>Quantile</w:t>
      </w:r>
      <w:r>
        <w:rPr>
          <w:b/>
        </w:rPr>
        <w:t xml:space="preserve"> and Movement Threshold</w:t>
      </w:r>
    </w:p>
    <w:p w:rsidR="007912B2" w:rsidP="007912B2" w:rsidRDefault="007912B2">
      <w:pPr>
        <w:spacing w:after="0" w:line="240" w:lineRule="auto"/>
      </w:pPr>
    </w:p>
    <w:tbl>
      <w:tblPr>
        <w:tblStyle w:val="TableGrid"/>
        <w:tblW w:w="10480" w:type="dxa"/>
        <w:tblInd w:w="-477" w:type="dxa"/>
        <w:tblLayout w:type="fixed"/>
        <w:tblLook w:val="04A0" w:firstRow="1" w:lastRow="0" w:firstColumn="1" w:lastColumn="0" w:noHBand="0" w:noVBand="1"/>
      </w:tblPr>
      <w:tblGrid>
        <w:gridCol w:w="596"/>
        <w:gridCol w:w="2069"/>
        <w:gridCol w:w="868"/>
        <w:gridCol w:w="868"/>
        <w:gridCol w:w="869"/>
        <w:gridCol w:w="872"/>
        <w:gridCol w:w="864"/>
        <w:gridCol w:w="869"/>
        <w:gridCol w:w="868"/>
        <w:gridCol w:w="868"/>
        <w:gridCol w:w="869"/>
      </w:tblGrid>
      <w:tr w:rsidR="007912B2" w:rsidTr="006D4956">
        <w:tc>
          <w:tcPr>
            <w:tcW w:w="2665" w:type="dxa"/>
            <w:gridSpan w:val="2"/>
            <w:tcBorders>
              <w:top w:val="single" w:color="auto" w:sz="4" w:space="0"/>
              <w:left w:val="single" w:color="auto" w:sz="4" w:space="0"/>
            </w:tcBorders>
          </w:tcPr>
          <w:p w:rsidRPr="00E9427D" w:rsidR="007912B2" w:rsidP="006D4956" w:rsidRDefault="007912B2">
            <w:pPr>
              <w:rPr>
                <w:b/>
              </w:rPr>
            </w:pPr>
            <w:r>
              <w:rPr>
                <w:b/>
              </w:rPr>
              <w:t>(a) 25</w:t>
            </w:r>
            <w:r w:rsidRPr="00E9427D">
              <w:rPr>
                <w:b/>
              </w:rPr>
              <w:t>km</w:t>
            </w:r>
          </w:p>
        </w:tc>
        <w:tc>
          <w:tcPr>
            <w:tcW w:w="868" w:type="dxa"/>
          </w:tcPr>
          <w:p w:rsidRPr="00E943E4" w:rsidR="007912B2" w:rsidP="006D4956" w:rsidRDefault="007912B2">
            <w:pPr>
              <w:jc w:val="center"/>
              <w:rPr>
                <w:b/>
              </w:rPr>
            </w:pPr>
            <w:r w:rsidRPr="00E943E4">
              <w:rPr>
                <w:b/>
              </w:rPr>
              <w:t>0.1</w:t>
            </w:r>
          </w:p>
        </w:tc>
        <w:tc>
          <w:tcPr>
            <w:tcW w:w="868" w:type="dxa"/>
          </w:tcPr>
          <w:p w:rsidRPr="00E943E4" w:rsidR="007912B2" w:rsidP="006D4956" w:rsidRDefault="007912B2">
            <w:pPr>
              <w:jc w:val="center"/>
              <w:rPr>
                <w:b/>
              </w:rPr>
            </w:pPr>
            <w:r w:rsidRPr="00E943E4">
              <w:rPr>
                <w:b/>
              </w:rPr>
              <w:t>0.2</w:t>
            </w:r>
          </w:p>
        </w:tc>
        <w:tc>
          <w:tcPr>
            <w:tcW w:w="869" w:type="dxa"/>
          </w:tcPr>
          <w:p w:rsidRPr="00E943E4" w:rsidR="007912B2" w:rsidP="006D4956" w:rsidRDefault="007912B2">
            <w:pPr>
              <w:jc w:val="center"/>
              <w:rPr>
                <w:b/>
              </w:rPr>
            </w:pPr>
            <w:r w:rsidRPr="00E943E4">
              <w:rPr>
                <w:b/>
              </w:rPr>
              <w:t>0.3</w:t>
            </w:r>
          </w:p>
        </w:tc>
        <w:tc>
          <w:tcPr>
            <w:tcW w:w="872" w:type="dxa"/>
          </w:tcPr>
          <w:p w:rsidRPr="00E943E4" w:rsidR="007912B2" w:rsidP="006D4956" w:rsidRDefault="007912B2">
            <w:pPr>
              <w:jc w:val="center"/>
              <w:rPr>
                <w:b/>
              </w:rPr>
            </w:pPr>
            <w:r w:rsidRPr="00E943E4">
              <w:rPr>
                <w:b/>
              </w:rPr>
              <w:t>0.4</w:t>
            </w:r>
          </w:p>
        </w:tc>
        <w:tc>
          <w:tcPr>
            <w:tcW w:w="864" w:type="dxa"/>
          </w:tcPr>
          <w:p w:rsidRPr="00E943E4" w:rsidR="007912B2" w:rsidP="006D4956" w:rsidRDefault="007912B2">
            <w:pPr>
              <w:jc w:val="center"/>
              <w:rPr>
                <w:b/>
              </w:rPr>
            </w:pPr>
            <w:r w:rsidRPr="00E943E4">
              <w:rPr>
                <w:b/>
              </w:rPr>
              <w:t>0.5</w:t>
            </w:r>
          </w:p>
        </w:tc>
        <w:tc>
          <w:tcPr>
            <w:tcW w:w="869" w:type="dxa"/>
          </w:tcPr>
          <w:p w:rsidRPr="00E943E4" w:rsidR="007912B2" w:rsidP="006D4956" w:rsidRDefault="007912B2">
            <w:pPr>
              <w:jc w:val="center"/>
              <w:rPr>
                <w:b/>
              </w:rPr>
            </w:pPr>
            <w:r w:rsidRPr="00E943E4">
              <w:rPr>
                <w:b/>
              </w:rPr>
              <w:t>0.6</w:t>
            </w:r>
          </w:p>
        </w:tc>
        <w:tc>
          <w:tcPr>
            <w:tcW w:w="868" w:type="dxa"/>
          </w:tcPr>
          <w:p w:rsidRPr="00E943E4" w:rsidR="007912B2" w:rsidP="006D4956" w:rsidRDefault="007912B2">
            <w:pPr>
              <w:jc w:val="center"/>
              <w:rPr>
                <w:b/>
              </w:rPr>
            </w:pPr>
            <w:r w:rsidRPr="00E943E4">
              <w:rPr>
                <w:b/>
              </w:rPr>
              <w:t>0.7</w:t>
            </w:r>
          </w:p>
        </w:tc>
        <w:tc>
          <w:tcPr>
            <w:tcW w:w="868" w:type="dxa"/>
          </w:tcPr>
          <w:p w:rsidRPr="00E943E4" w:rsidR="007912B2" w:rsidP="006D4956" w:rsidRDefault="007912B2">
            <w:pPr>
              <w:jc w:val="center"/>
              <w:rPr>
                <w:b/>
              </w:rPr>
            </w:pPr>
            <w:r w:rsidRPr="00E943E4">
              <w:rPr>
                <w:b/>
              </w:rPr>
              <w:t>0.8</w:t>
            </w:r>
          </w:p>
        </w:tc>
        <w:tc>
          <w:tcPr>
            <w:tcW w:w="869" w:type="dxa"/>
          </w:tcPr>
          <w:p w:rsidRPr="00E943E4" w:rsidR="007912B2" w:rsidP="006D4956" w:rsidRDefault="007912B2">
            <w:pPr>
              <w:jc w:val="center"/>
              <w:rPr>
                <w:b/>
              </w:rPr>
            </w:pPr>
            <w:r w:rsidRPr="00E943E4">
              <w:rPr>
                <w:b/>
              </w:rPr>
              <w:t>0.9</w:t>
            </w:r>
          </w:p>
        </w:tc>
      </w:tr>
      <w:tr w:rsidR="007912B2" w:rsidTr="006D4956">
        <w:tc>
          <w:tcPr>
            <w:tcW w:w="596" w:type="dxa"/>
            <w:vMerge w:val="restart"/>
            <w:textDirection w:val="btLr"/>
          </w:tcPr>
          <w:p w:rsidRPr="00E943E4" w:rsidR="007912B2" w:rsidP="006D4956" w:rsidRDefault="007912B2">
            <w:pPr>
              <w:ind w:left="113" w:right="113"/>
              <w:jc w:val="center"/>
              <w:rPr>
                <w:b/>
              </w:rPr>
            </w:pPr>
            <w:r>
              <w:rPr>
                <w:b/>
              </w:rPr>
              <w:t>MR</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-0.082</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-0.040</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-0.074</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-0.085</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-0.075</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-0.066</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-0.049</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-0.034</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-0.071</w:t>
            </w:r>
            <w:r w:rsidRPr="00AC09C3">
              <w:rPr>
                <w:rFonts w:ascii="Calibri" w:hAnsi="Calibri" w:eastAsia="Times New Roman"/>
                <w:color w:val="000000"/>
                <w:sz w:val="20"/>
                <w:szCs w:val="20"/>
                <w:vertAlign w:val="superscript"/>
              </w:rPr>
              <w:t>+++</w:t>
            </w:r>
          </w:p>
        </w:tc>
      </w:tr>
      <w:tr w:rsidR="007912B2" w:rsidTr="006D4956">
        <w:tc>
          <w:tcPr>
            <w:tcW w:w="596" w:type="dxa"/>
            <w:vMerge/>
          </w:tcPr>
          <w:p w:rsidRPr="00E943E4" w:rsidR="007912B2" w:rsidP="006D4956" w:rsidRDefault="007912B2">
            <w:pPr>
              <w:jc w:val="center"/>
              <w:rPr>
                <w:b/>
              </w:rPr>
            </w:pPr>
          </w:p>
        </w:tc>
        <w:tc>
          <w:tcPr>
            <w:tcW w:w="2069" w:type="dxa"/>
          </w:tcPr>
          <w:p w:rsidR="007912B2" w:rsidP="006D4956" w:rsidRDefault="007912B2">
            <w:r>
              <w:t>Characteristics</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-0.005</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-0.010</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-0.016</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-0.017</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-0.012</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-0.007</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-0.006</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-0.003</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-0.003</w:t>
            </w:r>
          </w:p>
        </w:tc>
      </w:tr>
      <w:tr w:rsidR="007912B2" w:rsidTr="006D4956">
        <w:tc>
          <w:tcPr>
            <w:tcW w:w="596" w:type="dxa"/>
            <w:vMerge/>
          </w:tcPr>
          <w:p w:rsidRPr="00E943E4" w:rsidR="007912B2" w:rsidP="006D4956" w:rsidRDefault="007912B2">
            <w:pPr>
              <w:jc w:val="center"/>
              <w:rPr>
                <w:b/>
              </w:rPr>
            </w:pPr>
          </w:p>
        </w:tc>
        <w:tc>
          <w:tcPr>
            <w:tcW w:w="2069" w:type="dxa"/>
          </w:tcPr>
          <w:p w:rsidR="007912B2" w:rsidP="006D4956" w:rsidRDefault="007912B2">
            <w:r>
              <w:t>Coefficients</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-0.076</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-0.031</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-0.058</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-0.068</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-0.063</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-0.059</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-0.043</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-0.031</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-0.067</w:t>
            </w:r>
            <w:r w:rsidRPr="00AC09C3">
              <w:rPr>
                <w:rFonts w:ascii="Calibri" w:hAnsi="Calibri" w:eastAsia="Times New Roman"/>
                <w:color w:val="000000"/>
                <w:sz w:val="20"/>
                <w:szCs w:val="20"/>
                <w:vertAlign w:val="superscript"/>
              </w:rPr>
              <w:t>+++</w:t>
            </w:r>
          </w:p>
        </w:tc>
      </w:tr>
      <w:tr w:rsidR="007912B2" w:rsidTr="006D4956">
        <w:tc>
          <w:tcPr>
            <w:tcW w:w="596" w:type="dxa"/>
            <w:vMerge w:val="restart"/>
            <w:textDirection w:val="btLr"/>
          </w:tcPr>
          <w:p w:rsidRPr="00E943E4" w:rsidR="007912B2" w:rsidP="006D4956" w:rsidRDefault="007912B2">
            <w:pPr>
              <w:ind w:left="113" w:right="113"/>
              <w:jc w:val="center"/>
              <w:rPr>
                <w:b/>
              </w:rPr>
            </w:pPr>
            <w:r>
              <w:rPr>
                <w:b/>
              </w:rPr>
              <w:t>SL</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0.353</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0.243</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0.236</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0.227</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0.204</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0.157</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0.159</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0.165</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0.190</w:t>
            </w:r>
            <w:r w:rsidRPr="00AC09C3">
              <w:rPr>
                <w:rFonts w:ascii="Calibri" w:hAnsi="Calibri" w:eastAsia="Times New Roman"/>
                <w:color w:val="000000"/>
                <w:sz w:val="20"/>
                <w:szCs w:val="20"/>
                <w:vertAlign w:val="superscript"/>
              </w:rPr>
              <w:t>+++</w:t>
            </w:r>
          </w:p>
        </w:tc>
      </w:tr>
      <w:tr w:rsidR="007912B2" w:rsidTr="006D4956">
        <w:tc>
          <w:tcPr>
            <w:tcW w:w="596" w:type="dxa"/>
            <w:vMerge/>
          </w:tcPr>
          <w:p w:rsidRPr="00E943E4" w:rsidR="007912B2" w:rsidP="006D4956" w:rsidRDefault="007912B2">
            <w:pPr>
              <w:jc w:val="center"/>
              <w:rPr>
                <w:b/>
              </w:rPr>
            </w:pPr>
          </w:p>
        </w:tc>
        <w:tc>
          <w:tcPr>
            <w:tcW w:w="2069" w:type="dxa"/>
          </w:tcPr>
          <w:p w:rsidR="007912B2" w:rsidP="006D4956" w:rsidRDefault="007912B2">
            <w:r>
              <w:t>Characteristics</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0.250</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0.137</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0.116</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0.123</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0.122</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0.125</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0.131</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0.149</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0.185</w:t>
            </w:r>
            <w:r w:rsidRPr="00AC09C3">
              <w:rPr>
                <w:rFonts w:ascii="Calibri" w:hAnsi="Calibri" w:eastAsia="Times New Roman"/>
                <w:color w:val="000000"/>
                <w:sz w:val="20"/>
                <w:szCs w:val="20"/>
                <w:vertAlign w:val="superscript"/>
              </w:rPr>
              <w:t>+++</w:t>
            </w:r>
          </w:p>
        </w:tc>
      </w:tr>
      <w:tr w:rsidR="007912B2" w:rsidTr="006D4956">
        <w:tc>
          <w:tcPr>
            <w:tcW w:w="596" w:type="dxa"/>
            <w:vMerge/>
          </w:tcPr>
          <w:p w:rsidRPr="00E943E4" w:rsidR="007912B2" w:rsidP="006D4956" w:rsidRDefault="007912B2">
            <w:pPr>
              <w:jc w:val="center"/>
              <w:rPr>
                <w:b/>
              </w:rPr>
            </w:pPr>
          </w:p>
        </w:tc>
        <w:tc>
          <w:tcPr>
            <w:tcW w:w="2069" w:type="dxa"/>
          </w:tcPr>
          <w:p w:rsidR="007912B2" w:rsidP="006D4956" w:rsidRDefault="007912B2">
            <w:r>
              <w:t>Coefficients</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0.103</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0.106</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0.120</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0.104</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0.082</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0.032</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0.027</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0.017</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0.005</w:t>
            </w:r>
          </w:p>
        </w:tc>
      </w:tr>
      <w:tr w:rsidR="007912B2" w:rsidTr="006D4956">
        <w:tc>
          <w:tcPr>
            <w:tcW w:w="596" w:type="dxa"/>
            <w:vMerge w:val="restart"/>
            <w:textDirection w:val="btLr"/>
          </w:tcPr>
          <w:p w:rsidRPr="00E943E4" w:rsidR="007912B2" w:rsidP="006D4956" w:rsidRDefault="007912B2">
            <w:pPr>
              <w:ind w:left="113" w:right="113"/>
              <w:jc w:val="center"/>
              <w:rPr>
                <w:b/>
              </w:rPr>
            </w:pPr>
            <w:r>
              <w:rPr>
                <w:b/>
              </w:rPr>
              <w:t>LS</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0.266</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0.123</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0.081</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0.069</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0.061</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0.056</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0.053</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0.072</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0.204</w:t>
            </w:r>
            <w:r w:rsidRPr="00AC09C3">
              <w:rPr>
                <w:rFonts w:ascii="Calibri" w:hAnsi="Calibri" w:eastAsia="Times New Roman"/>
                <w:color w:val="000000"/>
                <w:sz w:val="20"/>
                <w:szCs w:val="20"/>
                <w:vertAlign w:val="superscript"/>
              </w:rPr>
              <w:t>+++</w:t>
            </w:r>
          </w:p>
        </w:tc>
      </w:tr>
      <w:tr w:rsidR="007912B2" w:rsidTr="006D4956">
        <w:tc>
          <w:tcPr>
            <w:tcW w:w="596" w:type="dxa"/>
            <w:vMerge/>
          </w:tcPr>
          <w:p w:rsidRPr="00E943E4" w:rsidR="007912B2" w:rsidP="006D4956" w:rsidRDefault="007912B2">
            <w:pPr>
              <w:jc w:val="center"/>
              <w:rPr>
                <w:b/>
              </w:rPr>
            </w:pPr>
          </w:p>
        </w:tc>
        <w:tc>
          <w:tcPr>
            <w:tcW w:w="2069" w:type="dxa"/>
          </w:tcPr>
          <w:p w:rsidR="007912B2" w:rsidP="006D4956" w:rsidRDefault="007912B2">
            <w:r>
              <w:t>Characteristics</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0.217</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0.111</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0.078</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0.070</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0.066</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0.069</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0.071</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0.084</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0.123</w:t>
            </w:r>
            <w:r w:rsidRPr="00AC09C3">
              <w:rPr>
                <w:rFonts w:ascii="Calibri" w:hAnsi="Calibri" w:eastAsia="Times New Roman"/>
                <w:color w:val="000000"/>
                <w:sz w:val="20"/>
                <w:szCs w:val="20"/>
                <w:vertAlign w:val="superscript"/>
              </w:rPr>
              <w:t>+++</w:t>
            </w:r>
          </w:p>
        </w:tc>
      </w:tr>
      <w:tr w:rsidR="007912B2" w:rsidTr="006D4956">
        <w:tc>
          <w:tcPr>
            <w:tcW w:w="596" w:type="dxa"/>
            <w:vMerge/>
          </w:tcPr>
          <w:p w:rsidRPr="00E943E4" w:rsidR="007912B2" w:rsidP="006D4956" w:rsidRDefault="007912B2">
            <w:pPr>
              <w:jc w:val="center"/>
              <w:rPr>
                <w:b/>
              </w:rPr>
            </w:pPr>
          </w:p>
        </w:tc>
        <w:tc>
          <w:tcPr>
            <w:tcW w:w="2069" w:type="dxa"/>
          </w:tcPr>
          <w:p w:rsidR="007912B2" w:rsidP="006D4956" w:rsidRDefault="007912B2">
            <w:r>
              <w:t>Coefficients</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0.049</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0.012</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0.003</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-0.001</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-0.005</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-0.013</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-0.017</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-0.013</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0.081</w:t>
            </w:r>
            <w:r w:rsidRPr="00AC09C3">
              <w:rPr>
                <w:rFonts w:ascii="Calibri" w:hAnsi="Calibri" w:eastAsia="Times New Roman"/>
                <w:color w:val="000000"/>
                <w:sz w:val="20"/>
                <w:szCs w:val="20"/>
                <w:vertAlign w:val="superscript"/>
              </w:rPr>
              <w:t>+++</w:t>
            </w:r>
          </w:p>
        </w:tc>
      </w:tr>
      <w:tr w:rsidR="007912B2" w:rsidTr="006D4956">
        <w:tc>
          <w:tcPr>
            <w:tcW w:w="596" w:type="dxa"/>
            <w:vMerge w:val="restart"/>
            <w:textDirection w:val="btLr"/>
          </w:tcPr>
          <w:p w:rsidRPr="00683B07" w:rsidR="007912B2" w:rsidP="006D4956" w:rsidRDefault="007912B2">
            <w:pPr>
              <w:ind w:left="113" w:right="113"/>
              <w:jc w:val="center"/>
              <w:rPr>
                <w:b/>
                <w:sz w:val="21"/>
                <w:szCs w:val="21"/>
              </w:rPr>
            </w:pPr>
            <w:r>
              <w:rPr>
                <w:b/>
                <w:sz w:val="21"/>
                <w:szCs w:val="21"/>
              </w:rPr>
              <w:t>NRDM</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0.245</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0.145</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0.117</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0.115</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0.105</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0.090</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0.073</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0.067</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0.059</w:t>
            </w:r>
            <w:r w:rsidRPr="00AC09C3">
              <w:rPr>
                <w:rFonts w:ascii="Calibri" w:hAnsi="Calibri" w:eastAsia="Times New Roman"/>
                <w:color w:val="000000"/>
                <w:sz w:val="20"/>
                <w:szCs w:val="20"/>
                <w:vertAlign w:val="superscript"/>
              </w:rPr>
              <w:t>+++</w:t>
            </w:r>
          </w:p>
        </w:tc>
      </w:tr>
      <w:tr w:rsidR="007912B2" w:rsidTr="006D4956">
        <w:tc>
          <w:tcPr>
            <w:tcW w:w="596" w:type="dxa"/>
            <w:vMerge/>
          </w:tcPr>
          <w:p w:rsidR="007912B2" w:rsidP="006D4956" w:rsidRDefault="007912B2"/>
        </w:tc>
        <w:tc>
          <w:tcPr>
            <w:tcW w:w="2069" w:type="dxa"/>
          </w:tcPr>
          <w:p w:rsidR="007912B2" w:rsidP="006D4956" w:rsidRDefault="007912B2">
            <w:r>
              <w:t>Characteristics</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0.231</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0.134</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0.106</w:t>
            </w:r>
            <w:r w:rsidRPr="00AC09C3">
              <w:rPr>
                <w:rFonts w:ascii="Calibri" w:hAnsi="Calibri" w:eastAsia="Times New Roman"/>
                <w:color w:val="000000"/>
                <w:sz w:val="20"/>
                <w:szCs w:val="20"/>
                <w:vertAlign w:val="superscript"/>
              </w:rPr>
              <w:t>+++</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0.103</w:t>
            </w:r>
            <w:r w:rsidRPr="00AC09C3">
              <w:rPr>
                <w:rFonts w:ascii="Calibri" w:hAnsi="Calibri" w:eastAsia="Times New Roman"/>
                <w:color w:val="000000"/>
                <w:sz w:val="20"/>
                <w:szCs w:val="20"/>
                <w:vertAlign w:val="superscript"/>
              </w:rPr>
              <w:t>+++</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0.100</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0.095</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0.094</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0.106</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0.128</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tcPr>
          <w:p w:rsidR="007912B2" w:rsidP="006D4956" w:rsidRDefault="007912B2"/>
        </w:tc>
        <w:tc>
          <w:tcPr>
            <w:tcW w:w="2069" w:type="dxa"/>
          </w:tcPr>
          <w:p w:rsidR="007912B2" w:rsidP="006D4956" w:rsidRDefault="007912B2">
            <w:r>
              <w:t>Coefficients</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0.015</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0.012</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0.011</w:t>
            </w:r>
          </w:p>
        </w:tc>
        <w:tc>
          <w:tcPr>
            <w:tcW w:w="872"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0.011</w:t>
            </w:r>
          </w:p>
        </w:tc>
        <w:tc>
          <w:tcPr>
            <w:tcW w:w="864"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0.005</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-0.006</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-0.021</w:t>
            </w:r>
            <w:r w:rsidRPr="00AC09C3">
              <w:rPr>
                <w:rFonts w:ascii="Calibri" w:hAnsi="Calibri" w:eastAsia="Times New Roman"/>
                <w:color w:val="000000"/>
                <w:sz w:val="20"/>
                <w:szCs w:val="20"/>
                <w:vertAlign w:val="superscript"/>
              </w:rPr>
              <w:t>+</w:t>
            </w:r>
          </w:p>
        </w:tc>
        <w:tc>
          <w:tcPr>
            <w:tcW w:w="868"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-0.039</w:t>
            </w:r>
            <w:r w:rsidRPr="00AC09C3">
              <w:rPr>
                <w:rFonts w:ascii="Calibri" w:hAnsi="Calibri" w:eastAsia="Times New Roman"/>
                <w:color w:val="000000"/>
                <w:sz w:val="20"/>
                <w:szCs w:val="20"/>
                <w:vertAlign w:val="superscript"/>
              </w:rPr>
              <w:t>+++</w:t>
            </w:r>
          </w:p>
        </w:tc>
        <w:tc>
          <w:tcPr>
            <w:tcW w:w="869" w:type="dxa"/>
            <w:tcMar>
              <w:left w:w="57" w:type="dxa"/>
              <w:right w:w="57" w:type="dxa"/>
            </w:tcMar>
          </w:tcPr>
          <w:p w:rsidRPr="00134367" w:rsidR="007912B2" w:rsidP="006D4956" w:rsidRDefault="007912B2">
            <w:pPr>
              <w:jc w:val="right"/>
              <w:rPr>
                <w:sz w:val="20"/>
                <w:szCs w:val="20"/>
              </w:rPr>
            </w:pPr>
            <w:r w:rsidRPr="00134367">
              <w:rPr>
                <w:rFonts w:ascii="Calibri" w:hAnsi="Calibri" w:eastAsia="Times New Roman"/>
                <w:color w:val="000000"/>
                <w:sz w:val="20"/>
                <w:szCs w:val="20"/>
              </w:rPr>
              <w:t>-0.069</w:t>
            </w:r>
            <w:r w:rsidRPr="00AC09C3">
              <w:rPr>
                <w:rFonts w:ascii="Calibri" w:hAnsi="Calibri" w:eastAsia="Times New Roman"/>
                <w:color w:val="000000"/>
                <w:sz w:val="20"/>
                <w:szCs w:val="20"/>
                <w:vertAlign w:val="superscript"/>
              </w:rPr>
              <w:t>+++</w:t>
            </w:r>
          </w:p>
        </w:tc>
      </w:tr>
      <w:tr w:rsidR="007912B2" w:rsidTr="006D4956">
        <w:trPr>
          <w:trHeight w:val="269"/>
        </w:trPr>
        <w:tc>
          <w:tcPr>
            <w:tcW w:w="2665" w:type="dxa"/>
            <w:gridSpan w:val="2"/>
          </w:tcPr>
          <w:p w:rsidRPr="00E9427D" w:rsidR="007912B2" w:rsidP="006D4956" w:rsidRDefault="007912B2">
            <w:pPr>
              <w:rPr>
                <w:b/>
              </w:rPr>
            </w:pPr>
            <w:r w:rsidRPr="00E9427D">
              <w:rPr>
                <w:b/>
              </w:rPr>
              <w:t>(b) 50km</w:t>
            </w:r>
          </w:p>
        </w:tc>
        <w:tc>
          <w:tcPr>
            <w:tcW w:w="868" w:type="dxa"/>
            <w:tcMar>
              <w:left w:w="57" w:type="dxa"/>
              <w:right w:w="57" w:type="dxa"/>
            </w:tcMar>
          </w:tcPr>
          <w:p w:rsidRPr="000021D3" w:rsidR="007912B2" w:rsidP="006D4956" w:rsidRDefault="007912B2">
            <w:pPr>
              <w:jc w:val="center"/>
              <w:rPr>
                <w:sz w:val="20"/>
                <w:szCs w:val="20"/>
              </w:rPr>
            </w:pPr>
            <w:r w:rsidRPr="00E943E4">
              <w:rPr>
                <w:b/>
              </w:rPr>
              <w:t>0.1</w:t>
            </w:r>
          </w:p>
        </w:tc>
        <w:tc>
          <w:tcPr>
            <w:tcW w:w="868" w:type="dxa"/>
            <w:tcMar>
              <w:left w:w="57" w:type="dxa"/>
              <w:right w:w="57" w:type="dxa"/>
            </w:tcMar>
          </w:tcPr>
          <w:p w:rsidRPr="000021D3" w:rsidR="007912B2" w:rsidP="006D4956" w:rsidRDefault="007912B2">
            <w:pPr>
              <w:jc w:val="center"/>
              <w:rPr>
                <w:sz w:val="20"/>
                <w:szCs w:val="20"/>
              </w:rPr>
            </w:pPr>
            <w:r w:rsidRPr="00E943E4">
              <w:rPr>
                <w:b/>
              </w:rPr>
              <w:t>0.2</w:t>
            </w:r>
          </w:p>
        </w:tc>
        <w:tc>
          <w:tcPr>
            <w:tcW w:w="869" w:type="dxa"/>
            <w:tcMar>
              <w:left w:w="57" w:type="dxa"/>
              <w:right w:w="57" w:type="dxa"/>
            </w:tcMar>
          </w:tcPr>
          <w:p w:rsidRPr="000021D3" w:rsidR="007912B2" w:rsidP="006D4956" w:rsidRDefault="007912B2">
            <w:pPr>
              <w:jc w:val="center"/>
              <w:rPr>
                <w:sz w:val="20"/>
                <w:szCs w:val="20"/>
              </w:rPr>
            </w:pPr>
            <w:r w:rsidRPr="00E943E4">
              <w:rPr>
                <w:b/>
              </w:rPr>
              <w:t>0.3</w:t>
            </w:r>
          </w:p>
        </w:tc>
        <w:tc>
          <w:tcPr>
            <w:tcW w:w="872" w:type="dxa"/>
            <w:tcMar>
              <w:left w:w="57" w:type="dxa"/>
              <w:right w:w="57" w:type="dxa"/>
            </w:tcMar>
          </w:tcPr>
          <w:p w:rsidRPr="000021D3" w:rsidR="007912B2" w:rsidP="006D4956" w:rsidRDefault="007912B2">
            <w:pPr>
              <w:jc w:val="center"/>
              <w:rPr>
                <w:sz w:val="20"/>
                <w:szCs w:val="20"/>
              </w:rPr>
            </w:pPr>
            <w:r w:rsidRPr="00E943E4">
              <w:rPr>
                <w:b/>
              </w:rPr>
              <w:t>0.4</w:t>
            </w:r>
          </w:p>
        </w:tc>
        <w:tc>
          <w:tcPr>
            <w:tcW w:w="864" w:type="dxa"/>
            <w:tcMar>
              <w:left w:w="57" w:type="dxa"/>
              <w:right w:w="57" w:type="dxa"/>
            </w:tcMar>
          </w:tcPr>
          <w:p w:rsidRPr="000021D3" w:rsidR="007912B2" w:rsidP="006D4956" w:rsidRDefault="007912B2">
            <w:pPr>
              <w:jc w:val="center"/>
              <w:rPr>
                <w:sz w:val="20"/>
                <w:szCs w:val="20"/>
              </w:rPr>
            </w:pPr>
            <w:r w:rsidRPr="00E943E4">
              <w:rPr>
                <w:b/>
              </w:rPr>
              <w:t>0.5</w:t>
            </w:r>
          </w:p>
        </w:tc>
        <w:tc>
          <w:tcPr>
            <w:tcW w:w="869" w:type="dxa"/>
            <w:tcMar>
              <w:left w:w="57" w:type="dxa"/>
              <w:right w:w="57" w:type="dxa"/>
            </w:tcMar>
          </w:tcPr>
          <w:p w:rsidRPr="000021D3" w:rsidR="007912B2" w:rsidP="006D4956" w:rsidRDefault="007912B2">
            <w:pPr>
              <w:jc w:val="center"/>
              <w:rPr>
                <w:sz w:val="20"/>
                <w:szCs w:val="20"/>
              </w:rPr>
            </w:pPr>
            <w:r w:rsidRPr="00E943E4">
              <w:rPr>
                <w:b/>
              </w:rPr>
              <w:t>0.6</w:t>
            </w:r>
          </w:p>
        </w:tc>
        <w:tc>
          <w:tcPr>
            <w:tcW w:w="868" w:type="dxa"/>
            <w:tcMar>
              <w:left w:w="57" w:type="dxa"/>
              <w:right w:w="57" w:type="dxa"/>
            </w:tcMar>
          </w:tcPr>
          <w:p w:rsidRPr="000021D3" w:rsidR="007912B2" w:rsidP="006D4956" w:rsidRDefault="007912B2">
            <w:pPr>
              <w:jc w:val="center"/>
              <w:rPr>
                <w:sz w:val="20"/>
                <w:szCs w:val="20"/>
              </w:rPr>
            </w:pPr>
            <w:r w:rsidRPr="00E943E4">
              <w:rPr>
                <w:b/>
              </w:rPr>
              <w:t>0.7</w:t>
            </w:r>
          </w:p>
        </w:tc>
        <w:tc>
          <w:tcPr>
            <w:tcW w:w="868" w:type="dxa"/>
            <w:tcMar>
              <w:left w:w="57" w:type="dxa"/>
              <w:right w:w="57" w:type="dxa"/>
            </w:tcMar>
          </w:tcPr>
          <w:p w:rsidRPr="000021D3" w:rsidR="007912B2" w:rsidP="006D4956" w:rsidRDefault="007912B2">
            <w:pPr>
              <w:jc w:val="center"/>
              <w:rPr>
                <w:sz w:val="20"/>
                <w:szCs w:val="20"/>
              </w:rPr>
            </w:pPr>
            <w:r w:rsidRPr="00E943E4">
              <w:rPr>
                <w:b/>
              </w:rPr>
              <w:t>0.8</w:t>
            </w:r>
          </w:p>
        </w:tc>
        <w:tc>
          <w:tcPr>
            <w:tcW w:w="869" w:type="dxa"/>
            <w:tcMar>
              <w:left w:w="57" w:type="dxa"/>
              <w:right w:w="57" w:type="dxa"/>
            </w:tcMar>
          </w:tcPr>
          <w:p w:rsidRPr="000021D3" w:rsidR="007912B2" w:rsidP="006D4956" w:rsidRDefault="007912B2">
            <w:pPr>
              <w:jc w:val="center"/>
              <w:rPr>
                <w:sz w:val="20"/>
                <w:szCs w:val="20"/>
              </w:rPr>
            </w:pPr>
            <w:r w:rsidRPr="00E943E4">
              <w:rPr>
                <w:b/>
              </w:rPr>
              <w:t>0.9</w:t>
            </w:r>
          </w:p>
        </w:tc>
      </w:tr>
      <w:tr w:rsidR="007912B2" w:rsidTr="006D4956">
        <w:trPr>
          <w:trHeight w:val="311"/>
        </w:trPr>
        <w:tc>
          <w:tcPr>
            <w:tcW w:w="596" w:type="dxa"/>
            <w:vMerge w:val="restart"/>
            <w:textDirection w:val="btLr"/>
            <w:vAlign w:val="center"/>
          </w:tcPr>
          <w:p w:rsidR="007912B2" w:rsidP="006D4956" w:rsidRDefault="007912B2">
            <w:pPr>
              <w:jc w:val="center"/>
            </w:pPr>
            <w:r>
              <w:rPr>
                <w:b/>
              </w:rPr>
              <w:t>MR</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-0.127</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-0.106</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-0.105</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-0.116</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-0.129</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-0.126</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-0.050</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-0.076</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Characteristics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-0.096</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-0.064</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-0.047</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-0.053</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-0.056</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-0.051</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-0.045</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-0.042</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-0.061</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Coefficients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-0.032</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-0.042</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-0.059</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-0.063</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-0.073</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-0.074</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-0.037</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-0.008</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-0.015</w:t>
            </w:r>
          </w:p>
        </w:tc>
      </w:tr>
      <w:tr w:rsidR="007912B2" w:rsidTr="006D4956">
        <w:trPr>
          <w:trHeight w:val="311"/>
        </w:trPr>
        <w:tc>
          <w:tcPr>
            <w:tcW w:w="596" w:type="dxa"/>
            <w:vMerge w:val="restart"/>
            <w:textDirection w:val="btLr"/>
            <w:vAlign w:val="center"/>
          </w:tcPr>
          <w:p w:rsidR="007912B2" w:rsidP="006D4956" w:rsidRDefault="007912B2">
            <w:pPr>
              <w:jc w:val="center"/>
            </w:pPr>
            <w:r>
              <w:rPr>
                <w:b/>
              </w:rPr>
              <w:t>SL</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0.277</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0.209</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0.200</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0.194</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0.184</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0.145</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0.140</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0.141</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0.170</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Characteristics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0.197</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0.113</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0.093</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0.081</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0.067</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0.064</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0.064</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0.086</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Coefficients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0.081</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0.096</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0.107</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0.113</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0.117</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0.081</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0.077</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0.084</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restart"/>
            <w:textDirection w:val="btLr"/>
            <w:vAlign w:val="center"/>
          </w:tcPr>
          <w:p w:rsidR="007912B2" w:rsidP="006D4956" w:rsidRDefault="007912B2">
            <w:pPr>
              <w:jc w:val="center"/>
            </w:pPr>
            <w:r>
              <w:rPr>
                <w:b/>
              </w:rPr>
              <w:t>LS</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0.182</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0.101</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0.078</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0.071</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0.063</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0.052</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0.078</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0.272</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Characteristics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0.121</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0.051</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0.037</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0.033</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0.028</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0.031</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0.032</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0.036</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0.061</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Coefficients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0.061</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0.050</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0.040</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0.038</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0.035</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0.027</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0.020</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0.042</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0.211</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restart"/>
            <w:textDirection w:val="btLr"/>
            <w:vAlign w:val="center"/>
          </w:tcPr>
          <w:p w:rsidR="007912B2" w:rsidP="006D4956" w:rsidRDefault="007912B2">
            <w:pPr>
              <w:jc w:val="center"/>
            </w:pPr>
            <w:r>
              <w:rPr>
                <w:b/>
                <w:sz w:val="21"/>
                <w:szCs w:val="21"/>
              </w:rPr>
              <w:t>NRDM</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0.174</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0.091</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0.080</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0.078</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0.070</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0.055</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0.063</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0.071</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Characteristics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0.140</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0.060</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0.040</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0.025</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0.013</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0.015</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0.017</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0.021</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0.024</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Coefficients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0.034</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0.031</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0.040</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0.052</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0.057</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0.039</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0.042</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0.047</w:t>
            </w:r>
            <w:r w:rsidRPr="00AC09C3">
              <w:rPr>
                <w:rFonts w:ascii="Calibri" w:hAnsi="Calibri" w:eastAsia="Times New Roman"/>
                <w:color w:val="000000"/>
                <w:sz w:val="20"/>
                <w:szCs w:val="20"/>
                <w:vertAlign w:val="superscript"/>
              </w:rPr>
              <w:t>+++</w:t>
            </w:r>
          </w:p>
        </w:tc>
      </w:tr>
      <w:tr w:rsidR="007912B2" w:rsidTr="006D4956">
        <w:trPr>
          <w:trHeight w:val="255"/>
        </w:trPr>
        <w:tc>
          <w:tcPr>
            <w:tcW w:w="2665" w:type="dxa"/>
            <w:gridSpan w:val="2"/>
            <w:vAlign w:val="center"/>
          </w:tcPr>
          <w:p w:rsidRPr="00E9427D" w:rsidR="007912B2" w:rsidP="006D4956" w:rsidRDefault="007912B2">
            <w:pPr>
              <w:rPr>
                <w:b/>
              </w:rPr>
            </w:pPr>
            <w:r>
              <w:rPr>
                <w:b/>
              </w:rPr>
              <w:t>(c) 100</w:t>
            </w:r>
            <w:r w:rsidRPr="00E9427D">
              <w:rPr>
                <w:b/>
              </w:rPr>
              <w:t>km</w:t>
            </w:r>
          </w:p>
        </w:tc>
        <w:tc>
          <w:tcPr>
            <w:tcW w:w="868" w:type="dxa"/>
            <w:tcMar>
              <w:left w:w="57" w:type="dxa"/>
              <w:right w:w="57" w:type="dxa"/>
            </w:tcMar>
          </w:tcPr>
          <w:p w:rsidRPr="000021D3" w:rsidR="007912B2" w:rsidP="006D4956" w:rsidRDefault="007912B2">
            <w:pPr>
              <w:jc w:val="center"/>
              <w:rPr>
                <w:sz w:val="20"/>
                <w:szCs w:val="20"/>
              </w:rPr>
            </w:pPr>
            <w:r w:rsidRPr="00E943E4">
              <w:rPr>
                <w:b/>
              </w:rPr>
              <w:t>0.1</w:t>
            </w:r>
          </w:p>
        </w:tc>
        <w:tc>
          <w:tcPr>
            <w:tcW w:w="868" w:type="dxa"/>
            <w:tcMar>
              <w:left w:w="57" w:type="dxa"/>
              <w:right w:w="57" w:type="dxa"/>
            </w:tcMar>
          </w:tcPr>
          <w:p w:rsidRPr="000021D3" w:rsidR="007912B2" w:rsidP="006D4956" w:rsidRDefault="007912B2">
            <w:pPr>
              <w:jc w:val="center"/>
              <w:rPr>
                <w:sz w:val="20"/>
                <w:szCs w:val="20"/>
              </w:rPr>
            </w:pPr>
            <w:r w:rsidRPr="00E943E4">
              <w:rPr>
                <w:b/>
              </w:rPr>
              <w:t>0.2</w:t>
            </w:r>
          </w:p>
        </w:tc>
        <w:tc>
          <w:tcPr>
            <w:tcW w:w="869" w:type="dxa"/>
            <w:tcMar>
              <w:left w:w="57" w:type="dxa"/>
              <w:right w:w="57" w:type="dxa"/>
            </w:tcMar>
          </w:tcPr>
          <w:p w:rsidRPr="000021D3" w:rsidR="007912B2" w:rsidP="006D4956" w:rsidRDefault="007912B2">
            <w:pPr>
              <w:jc w:val="center"/>
              <w:rPr>
                <w:sz w:val="20"/>
                <w:szCs w:val="20"/>
              </w:rPr>
            </w:pPr>
            <w:r w:rsidRPr="00E943E4">
              <w:rPr>
                <w:b/>
              </w:rPr>
              <w:t>0.3</w:t>
            </w:r>
          </w:p>
        </w:tc>
        <w:tc>
          <w:tcPr>
            <w:tcW w:w="872" w:type="dxa"/>
            <w:tcMar>
              <w:left w:w="57" w:type="dxa"/>
              <w:right w:w="57" w:type="dxa"/>
            </w:tcMar>
          </w:tcPr>
          <w:p w:rsidRPr="000021D3" w:rsidR="007912B2" w:rsidP="006D4956" w:rsidRDefault="007912B2">
            <w:pPr>
              <w:jc w:val="center"/>
              <w:rPr>
                <w:sz w:val="20"/>
                <w:szCs w:val="20"/>
              </w:rPr>
            </w:pPr>
            <w:r w:rsidRPr="00E943E4">
              <w:rPr>
                <w:b/>
              </w:rPr>
              <w:t>0.4</w:t>
            </w:r>
          </w:p>
        </w:tc>
        <w:tc>
          <w:tcPr>
            <w:tcW w:w="864" w:type="dxa"/>
            <w:tcMar>
              <w:left w:w="57" w:type="dxa"/>
              <w:right w:w="57" w:type="dxa"/>
            </w:tcMar>
          </w:tcPr>
          <w:p w:rsidRPr="000021D3" w:rsidR="007912B2" w:rsidP="006D4956" w:rsidRDefault="007912B2">
            <w:pPr>
              <w:jc w:val="center"/>
              <w:rPr>
                <w:sz w:val="20"/>
                <w:szCs w:val="20"/>
              </w:rPr>
            </w:pPr>
            <w:r w:rsidRPr="00E943E4">
              <w:rPr>
                <w:b/>
              </w:rPr>
              <w:t>0.5</w:t>
            </w:r>
          </w:p>
        </w:tc>
        <w:tc>
          <w:tcPr>
            <w:tcW w:w="869" w:type="dxa"/>
            <w:tcMar>
              <w:left w:w="57" w:type="dxa"/>
              <w:right w:w="57" w:type="dxa"/>
            </w:tcMar>
          </w:tcPr>
          <w:p w:rsidRPr="000021D3" w:rsidR="007912B2" w:rsidP="006D4956" w:rsidRDefault="007912B2">
            <w:pPr>
              <w:jc w:val="center"/>
              <w:rPr>
                <w:sz w:val="20"/>
                <w:szCs w:val="20"/>
              </w:rPr>
            </w:pPr>
            <w:r w:rsidRPr="00E943E4">
              <w:rPr>
                <w:b/>
              </w:rPr>
              <w:t>0.6</w:t>
            </w:r>
          </w:p>
        </w:tc>
        <w:tc>
          <w:tcPr>
            <w:tcW w:w="868" w:type="dxa"/>
            <w:tcMar>
              <w:left w:w="57" w:type="dxa"/>
              <w:right w:w="57" w:type="dxa"/>
            </w:tcMar>
          </w:tcPr>
          <w:p w:rsidRPr="000021D3" w:rsidR="007912B2" w:rsidP="006D4956" w:rsidRDefault="007912B2">
            <w:pPr>
              <w:jc w:val="center"/>
              <w:rPr>
                <w:sz w:val="20"/>
                <w:szCs w:val="20"/>
              </w:rPr>
            </w:pPr>
            <w:r w:rsidRPr="00E943E4">
              <w:rPr>
                <w:b/>
              </w:rPr>
              <w:t>0.7</w:t>
            </w:r>
          </w:p>
        </w:tc>
        <w:tc>
          <w:tcPr>
            <w:tcW w:w="868" w:type="dxa"/>
            <w:tcMar>
              <w:left w:w="57" w:type="dxa"/>
              <w:right w:w="57" w:type="dxa"/>
            </w:tcMar>
          </w:tcPr>
          <w:p w:rsidRPr="000021D3" w:rsidR="007912B2" w:rsidP="006D4956" w:rsidRDefault="007912B2">
            <w:pPr>
              <w:jc w:val="center"/>
              <w:rPr>
                <w:sz w:val="20"/>
                <w:szCs w:val="20"/>
              </w:rPr>
            </w:pPr>
            <w:r w:rsidRPr="00E943E4">
              <w:rPr>
                <w:b/>
              </w:rPr>
              <w:t>0.8</w:t>
            </w:r>
          </w:p>
        </w:tc>
        <w:tc>
          <w:tcPr>
            <w:tcW w:w="869" w:type="dxa"/>
            <w:tcMar>
              <w:left w:w="57" w:type="dxa"/>
              <w:right w:w="57" w:type="dxa"/>
            </w:tcMar>
          </w:tcPr>
          <w:p w:rsidRPr="000021D3" w:rsidR="007912B2" w:rsidP="006D4956" w:rsidRDefault="007912B2">
            <w:pPr>
              <w:jc w:val="center"/>
              <w:rPr>
                <w:sz w:val="20"/>
                <w:szCs w:val="20"/>
              </w:rPr>
            </w:pPr>
            <w:r w:rsidRPr="00E943E4">
              <w:rPr>
                <w:b/>
              </w:rPr>
              <w:t>0.9</w:t>
            </w:r>
          </w:p>
        </w:tc>
      </w:tr>
      <w:tr w:rsidR="007912B2" w:rsidTr="006D4956">
        <w:trPr>
          <w:trHeight w:val="311"/>
        </w:trPr>
        <w:tc>
          <w:tcPr>
            <w:tcW w:w="596" w:type="dxa"/>
            <w:vMerge w:val="restart"/>
            <w:textDirection w:val="btLr"/>
            <w:vAlign w:val="center"/>
          </w:tcPr>
          <w:p w:rsidR="007912B2" w:rsidP="006D4956" w:rsidRDefault="007912B2">
            <w:pPr>
              <w:jc w:val="center"/>
            </w:pPr>
            <w:r>
              <w:rPr>
                <w:b/>
              </w:rPr>
              <w:t>MR</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-0.289</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-0.219</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-0.213</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-0.161</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-0.207</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-0.159</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-0.142</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-0.107</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-0.105</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Characteristics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-0.205</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-0.100</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-0.088</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-0.080</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-0.083</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-0.057</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-0.056</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Coefficients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-0.119</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-0.125</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-0.081</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-0.124</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-0.076</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-0.050</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-0.050</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restart"/>
            <w:textDirection w:val="btLr"/>
            <w:vAlign w:val="center"/>
          </w:tcPr>
          <w:p w:rsidR="007912B2" w:rsidP="006D4956" w:rsidRDefault="007912B2">
            <w:pPr>
              <w:jc w:val="center"/>
            </w:pPr>
            <w:r>
              <w:rPr>
                <w:b/>
              </w:rPr>
              <w:t>SL</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0.203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0.160</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0.178</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0.175</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0.164</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0.114</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0.122</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0.130</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0.154</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Characteristics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0.154</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0.104</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0.094</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0.084</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0.071</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0.055</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0.055</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0.072</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Coefficients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0.056</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0.084</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0.091</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0.094</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0.059</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0.074</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0.075</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0.082</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restart"/>
            <w:textDirection w:val="btLr"/>
            <w:vAlign w:val="center"/>
          </w:tcPr>
          <w:p w:rsidR="007912B2" w:rsidP="006D4956" w:rsidRDefault="007912B2">
            <w:pPr>
              <w:jc w:val="center"/>
            </w:pPr>
            <w:r>
              <w:rPr>
                <w:b/>
              </w:rPr>
              <w:t>LS</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0.100</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0.069</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0.063</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0.069</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0.064</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0.079</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0.100</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0.173</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0.302</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Characteristics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0.073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0.048</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0.050</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0.050</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0.052</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0.047</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0.048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0.063</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0.136</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ign w:val="center"/>
          </w:tcPr>
          <w:p w:rsidR="007912B2" w:rsidP="006D4956" w:rsidRDefault="007912B2">
            <w:pPr>
              <w:jc w:val="center"/>
            </w:pPr>
          </w:p>
        </w:tc>
        <w:tc>
          <w:tcPr>
            <w:tcW w:w="2069" w:type="dxa"/>
          </w:tcPr>
          <w:p w:rsidR="007912B2" w:rsidP="006D4956" w:rsidRDefault="007912B2">
            <w:r>
              <w:t>Coefficients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0.027</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0.020</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0.013</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0.020</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0.013</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0.053</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0.109</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0.167</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val="restart"/>
            <w:textDirection w:val="btLr"/>
            <w:vAlign w:val="center"/>
          </w:tcPr>
          <w:p w:rsidR="007912B2" w:rsidP="006D4956" w:rsidRDefault="007912B2">
            <w:pPr>
              <w:jc w:val="center"/>
            </w:pPr>
            <w:r>
              <w:rPr>
                <w:b/>
                <w:sz w:val="21"/>
                <w:szCs w:val="21"/>
              </w:rPr>
              <w:t>NRDM</w:t>
            </w:r>
          </w:p>
        </w:tc>
        <w:tc>
          <w:tcPr>
            <w:tcW w:w="2069" w:type="dxa"/>
          </w:tcPr>
          <w:p w:rsidR="007912B2" w:rsidP="006D4956" w:rsidRDefault="007912B2">
            <w:r>
              <w:t xml:space="preserve">Earnings </w:t>
            </w:r>
            <w:r w:rsidR="00435605">
              <w:t>d</w:t>
            </w:r>
            <w:r>
              <w:t>ifferential</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0.086</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0.038</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0.035</w:t>
            </w:r>
            <w:r w:rsidRPr="00AC09C3">
              <w:rPr>
                <w:rFonts w:ascii="Calibri" w:hAnsi="Calibri" w:eastAsia="Times New Roman"/>
                <w:color w:val="000000"/>
                <w:sz w:val="20"/>
                <w:szCs w:val="20"/>
                <w:vertAlign w:val="superscript"/>
              </w:rPr>
              <w:t>++</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0.034</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0.031</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0.030</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0.032</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0.051</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0.058</w:t>
            </w:r>
            <w:r w:rsidRPr="00AC09C3">
              <w:rPr>
                <w:rFonts w:ascii="Calibri" w:hAnsi="Calibri" w:eastAsia="Times New Roman"/>
                <w:color w:val="000000"/>
                <w:sz w:val="20"/>
                <w:szCs w:val="20"/>
                <w:vertAlign w:val="superscript"/>
              </w:rPr>
              <w:t>+++</w:t>
            </w:r>
          </w:p>
        </w:tc>
      </w:tr>
      <w:tr w:rsidR="007912B2" w:rsidTr="006D4956">
        <w:trPr>
          <w:trHeight w:val="311"/>
        </w:trPr>
        <w:tc>
          <w:tcPr>
            <w:tcW w:w="596" w:type="dxa"/>
            <w:vMerge/>
          </w:tcPr>
          <w:p w:rsidR="007912B2" w:rsidP="006D4956" w:rsidRDefault="007912B2"/>
        </w:tc>
        <w:tc>
          <w:tcPr>
            <w:tcW w:w="2069" w:type="dxa"/>
          </w:tcPr>
          <w:p w:rsidR="007912B2" w:rsidP="006D4956" w:rsidRDefault="007912B2">
            <w:r>
              <w:t>Characteristics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0.068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0.033</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0.021</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0.015</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0.006</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0.002</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0.009</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0.016</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0.020</w:t>
            </w:r>
          </w:p>
        </w:tc>
      </w:tr>
      <w:tr w:rsidR="007912B2" w:rsidTr="006D4956">
        <w:trPr>
          <w:trHeight w:val="311"/>
        </w:trPr>
        <w:tc>
          <w:tcPr>
            <w:tcW w:w="596" w:type="dxa"/>
            <w:vMerge/>
          </w:tcPr>
          <w:p w:rsidR="007912B2" w:rsidP="006D4956" w:rsidRDefault="007912B2"/>
        </w:tc>
        <w:tc>
          <w:tcPr>
            <w:tcW w:w="2069" w:type="dxa"/>
          </w:tcPr>
          <w:p w:rsidR="007912B2" w:rsidP="006D4956" w:rsidRDefault="007912B2">
            <w:r>
              <w:t>Coefficients</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0.018</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0.004</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0.014</w:t>
            </w:r>
          </w:p>
        </w:tc>
        <w:tc>
          <w:tcPr>
            <w:tcW w:w="872"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0.019</w:t>
            </w:r>
            <w:r w:rsidRPr="00AC09C3">
              <w:rPr>
                <w:rFonts w:ascii="Calibri" w:hAnsi="Calibri" w:eastAsia="Times New Roman"/>
                <w:color w:val="000000"/>
                <w:sz w:val="20"/>
                <w:szCs w:val="20"/>
                <w:vertAlign w:val="superscript"/>
              </w:rPr>
              <w:t>+</w:t>
            </w:r>
          </w:p>
        </w:tc>
        <w:tc>
          <w:tcPr>
            <w:tcW w:w="864"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0.025</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0.028</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0.022</w:t>
            </w:r>
            <w:r w:rsidRPr="00AC09C3">
              <w:rPr>
                <w:rFonts w:ascii="Calibri" w:hAnsi="Calibri" w:eastAsia="Times New Roman"/>
                <w:color w:val="000000"/>
                <w:sz w:val="20"/>
                <w:szCs w:val="20"/>
                <w:vertAlign w:val="superscript"/>
              </w:rPr>
              <w:t>+++</w:t>
            </w:r>
          </w:p>
        </w:tc>
        <w:tc>
          <w:tcPr>
            <w:tcW w:w="868"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0.036</w:t>
            </w:r>
            <w:r w:rsidRPr="00AC09C3">
              <w:rPr>
                <w:rFonts w:ascii="Calibri" w:hAnsi="Calibri" w:eastAsia="Times New Roman"/>
                <w:color w:val="000000"/>
                <w:sz w:val="20"/>
                <w:szCs w:val="20"/>
                <w:vertAlign w:val="superscript"/>
              </w:rPr>
              <w:t>+++</w:t>
            </w:r>
          </w:p>
        </w:tc>
        <w:tc>
          <w:tcPr>
            <w:tcW w:w="869" w:type="dxa"/>
            <w:tcMar>
              <w:left w:w="57" w:type="dxa"/>
              <w:right w:w="57" w:type="dxa"/>
            </w:tcMar>
            <w:vAlign w:val="bottom"/>
          </w:tcPr>
          <w:p w:rsidRPr="00134367" w:rsidR="007912B2" w:rsidP="006D4956" w:rsidRDefault="007912B2">
            <w:pPr>
              <w:jc w:val="right"/>
              <w:rPr>
                <w:sz w:val="20"/>
                <w:szCs w:val="20"/>
              </w:rPr>
            </w:pPr>
            <w:r w:rsidRPr="00134367">
              <w:rPr>
                <w:rFonts w:ascii="Calibri" w:hAnsi="Calibri" w:eastAsia="Times New Roman"/>
                <w:color w:val="000000"/>
                <w:sz w:val="20"/>
                <w:szCs w:val="20"/>
              </w:rPr>
              <w:t>0.038</w:t>
            </w:r>
            <w:r w:rsidRPr="00AC09C3">
              <w:rPr>
                <w:rFonts w:ascii="Calibri" w:hAnsi="Calibri" w:eastAsia="Times New Roman"/>
                <w:color w:val="000000"/>
                <w:sz w:val="20"/>
                <w:szCs w:val="20"/>
                <w:vertAlign w:val="superscript"/>
              </w:rPr>
              <w:t>+++</w:t>
            </w:r>
          </w:p>
        </w:tc>
      </w:tr>
    </w:tbl>
    <w:p w:rsidRPr="004F503C" w:rsidR="007912B2" w:rsidP="007912B2" w:rsidRDefault="007912B2">
      <w:pPr>
        <w:spacing w:after="0" w:line="240" w:lineRule="auto"/>
        <w:jc w:val="both"/>
      </w:pPr>
    </w:p>
    <w:p w:rsidR="007912B2" w:rsidP="00336030" w:rsidRDefault="007912B2">
      <w:pPr>
        <w:spacing w:after="0" w:line="240" w:lineRule="auto"/>
        <w:ind w:left="426" w:hanging="993"/>
        <w:jc w:val="both"/>
      </w:pPr>
      <w:r w:rsidRPr="00651715">
        <w:rPr>
          <w:i/>
        </w:rPr>
        <w:t>Note</w:t>
      </w:r>
      <w:r>
        <w:rPr>
          <w:i/>
        </w:rPr>
        <w:t>s</w:t>
      </w:r>
      <w:r>
        <w:t>:</w:t>
      </w:r>
      <w:r>
        <w:tab/>
      </w:r>
      <w:r w:rsidR="0017389B">
        <w:t>M</w:t>
      </w:r>
      <w:r w:rsidRPr="009C2857" w:rsidR="0017389B">
        <w:t>R =</w:t>
      </w:r>
      <w:r w:rsidR="0017389B">
        <w:t xml:space="preserve"> Move-Returners</w:t>
      </w:r>
      <w:r w:rsidRPr="009C2857" w:rsidR="0017389B">
        <w:t>;</w:t>
      </w:r>
      <w:r w:rsidR="0017389B">
        <w:t xml:space="preserve"> SL = Stay-Leavers; LS = Leave-Stayers; NRDM = Non-Returning Double-Movers; </w:t>
      </w:r>
      <w:r>
        <w:t xml:space="preserve">statistical significance based upon bootstrapped standard errors </w:t>
      </w:r>
      <w:r w:rsidR="00A5335A">
        <w:t>(using x-</w:t>
      </w:r>
      <w:r w:rsidR="00602779">
        <w:t xml:space="preserve">y pair </w:t>
      </w:r>
      <w:r w:rsidR="00602779">
        <w:lastRenderedPageBreak/>
        <w:t>bootstrapping</w:t>
      </w:r>
      <w:r w:rsidR="00A5335A">
        <w:t xml:space="preserve"> with replacement</w:t>
      </w:r>
      <w:r w:rsidR="00602779">
        <w:t xml:space="preserve">) </w:t>
      </w:r>
      <w:r>
        <w:t xml:space="preserve">derived from 100 repetitions; </w:t>
      </w:r>
      <w:r w:rsidRPr="006F2B68">
        <w:rPr>
          <w:vertAlign w:val="superscript"/>
        </w:rPr>
        <w:t>+</w:t>
      </w:r>
      <w:r>
        <w:t>/</w:t>
      </w:r>
      <w:r w:rsidRPr="006F2B68">
        <w:rPr>
          <w:vertAlign w:val="superscript"/>
        </w:rPr>
        <w:t>++</w:t>
      </w:r>
      <w:r>
        <w:t>/</w:t>
      </w:r>
      <w:r w:rsidRPr="006F2B68">
        <w:rPr>
          <w:vertAlign w:val="superscript"/>
        </w:rPr>
        <w:t>+++</w:t>
      </w:r>
      <w:r>
        <w:t xml:space="preserve"> denotes statistical significance at the 90%/95%/99% level respectively.</w:t>
      </w:r>
      <w:r w:rsidR="00602779">
        <w:t xml:space="preserve"> </w:t>
      </w:r>
    </w:p>
    <w:p w:rsidR="00611A52" w:rsidRDefault="00611A52"/>
    <w:sectPr w:rsidR="00611A52" w:rsidSect="00CD0D82">
      <w:footerReference w:type="default" r:id="rId2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92E" w:rsidRDefault="00D2692E" w:rsidP="007D7390">
      <w:pPr>
        <w:spacing w:after="0" w:line="240" w:lineRule="auto"/>
      </w:pPr>
      <w:r>
        <w:separator/>
      </w:r>
    </w:p>
  </w:endnote>
  <w:endnote w:type="continuationSeparator" w:id="0">
    <w:p w:rsidR="00D2692E" w:rsidRDefault="00D2692E" w:rsidP="007D7390">
      <w:pPr>
        <w:spacing w:after="0" w:line="240" w:lineRule="auto"/>
      </w:pPr>
      <w:r>
        <w:continuationSeparator/>
      </w:r>
    </w:p>
  </w:endnote>
  <w:endnote w:id="1">
    <w:p w:rsidR="00EB022E" w:rsidRDefault="00EB022E" w:rsidP="001966B3">
      <w:pPr>
        <w:pStyle w:val="EndnoteText"/>
        <w:jc w:val="both"/>
      </w:pPr>
      <w:r>
        <w:rPr>
          <w:rStyle w:val="EndnoteReference"/>
        </w:rPr>
        <w:endnoteRef/>
      </w:r>
      <w:r>
        <w:t xml:space="preserve"> Good examples within this literature are O’Leary and Sloane (2005, 2008), Walker and Zhu (2011) and Chevalier (2011), which identify substantial heterogeneity in lifetime returns to degree education across disciplines, gender and across regions of the UK.</w:t>
      </w:r>
    </w:p>
  </w:endnote>
  <w:endnote w:id="2">
    <w:p w:rsidR="00EB022E" w:rsidRPr="00372D81" w:rsidRDefault="00EB022E" w:rsidP="001966B3">
      <w:pPr>
        <w:pStyle w:val="EndnoteText"/>
        <w:jc w:val="both"/>
        <w:rPr>
          <w:lang w:val="en-AU"/>
        </w:rPr>
      </w:pPr>
      <w:r>
        <w:rPr>
          <w:rStyle w:val="EndnoteReference"/>
        </w:rPr>
        <w:endnoteRef/>
      </w:r>
      <w:r>
        <w:t xml:space="preserve"> We  ignore those who do not proceed straight into the labour market after graduation and also delete the  small number of graduates who take up employment abroad.</w:t>
      </w:r>
    </w:p>
  </w:endnote>
  <w:endnote w:id="3">
    <w:p w:rsidR="00EB022E" w:rsidRPr="00336030" w:rsidRDefault="00EB022E" w:rsidP="001966B3">
      <w:pPr>
        <w:pStyle w:val="EndnoteText"/>
        <w:jc w:val="both"/>
        <w:rPr>
          <w:lang w:val="en-AU"/>
        </w:rPr>
      </w:pPr>
      <w:r>
        <w:rPr>
          <w:rStyle w:val="EndnoteReference"/>
        </w:rPr>
        <w:endnoteRef/>
      </w:r>
      <w:r>
        <w:t xml:space="preserve"> Interestingly, t</w:t>
      </w:r>
      <w:r w:rsidRPr="00394BC3">
        <w:t xml:space="preserve">he results </w:t>
      </w:r>
      <w:r>
        <w:t>are</w:t>
      </w:r>
      <w:r w:rsidRPr="00394BC3">
        <w:t xml:space="preserve"> sensitive to whether or not London </w:t>
      </w:r>
      <w:r>
        <w:t>is</w:t>
      </w:r>
      <w:r w:rsidRPr="00394BC3">
        <w:t xml:space="preserve"> included and Scotland excluded</w:t>
      </w:r>
      <w:r w:rsidRPr="000524F4">
        <w:t xml:space="preserve"> </w:t>
      </w:r>
      <w:r w:rsidRPr="00394BC3">
        <w:t>in the analysis</w:t>
      </w:r>
      <w:r>
        <w:t>.</w:t>
      </w:r>
    </w:p>
  </w:endnote>
  <w:endnote w:id="4">
    <w:p w:rsidR="00EB022E" w:rsidRPr="00C25766" w:rsidRDefault="00EB022E" w:rsidP="001966B3">
      <w:pPr>
        <w:pStyle w:val="EndnoteText"/>
        <w:jc w:val="both"/>
        <w:rPr>
          <w:lang w:val="en-US"/>
        </w:rPr>
      </w:pPr>
      <w:r>
        <w:rPr>
          <w:rStyle w:val="EndnoteReference"/>
        </w:rPr>
        <w:endnoteRef/>
      </w:r>
      <w:r>
        <w:t xml:space="preserve"> The survey response rate is 44%. See Kitchen et al. (2008) for further details.</w:t>
      </w:r>
    </w:p>
  </w:endnote>
  <w:endnote w:id="5">
    <w:p w:rsidR="00EB022E" w:rsidRDefault="00EB022E" w:rsidP="001966B3">
      <w:pPr>
        <w:pStyle w:val="EndnoteText"/>
        <w:jc w:val="both"/>
      </w:pPr>
      <w:r>
        <w:rPr>
          <w:rStyle w:val="EndnoteReference"/>
        </w:rPr>
        <w:endnoteRef/>
      </w:r>
      <w:r>
        <w:t xml:space="preserve"> While the data avoid the issue of recession, they predate the 2012 introduction of top-up fees of up to £9,000 that universities can charge. It may be conjectured that the implications of mobility analysed here will not be representative of the situation facing the most recent cohorts if mobility patterns have been affected by the new fee regime. However, official HESA data does not support such a view, in that the proportion of all full-time undergraduates whose term-time accommodation is recorded as the parental home has remained remarkably stable since 2007/08 (the earliest year a consistent series is available) and has fluctuated only minimally between 23-24%.</w:t>
      </w:r>
    </w:p>
  </w:endnote>
  <w:endnote w:id="6">
    <w:p w:rsidR="00EB022E" w:rsidRDefault="00EB022E" w:rsidP="001966B3">
      <w:pPr>
        <w:pStyle w:val="EndnoteText"/>
        <w:jc w:val="both"/>
      </w:pPr>
      <w:r>
        <w:rPr>
          <w:rStyle w:val="EndnoteReference"/>
        </w:rPr>
        <w:endnoteRef/>
      </w:r>
      <w:r>
        <w:t xml:space="preserve"> For grammatical simplicity we will assume that student </w:t>
      </w:r>
      <w:r w:rsidRPr="00E278A2">
        <w:rPr>
          <w:i/>
        </w:rPr>
        <w:t>j</w:t>
      </w:r>
      <w:r>
        <w:t xml:space="preserve"> is female, but the empirical estimation that follows is conducted for both males and females.</w:t>
      </w:r>
    </w:p>
  </w:endnote>
  <w:endnote w:id="7">
    <w:p w:rsidR="00EB022E" w:rsidRDefault="00EB022E" w:rsidP="001966B3">
      <w:pPr>
        <w:pStyle w:val="EndnoteText"/>
        <w:jc w:val="both"/>
      </w:pPr>
      <w:r>
        <w:rPr>
          <w:rStyle w:val="EndnoteReference"/>
        </w:rPr>
        <w:endnoteRef/>
      </w:r>
      <w:r>
        <w:t xml:space="preserve"> Specifically, postcode data can be translated to ordinance survey </w:t>
      </w:r>
      <w:r w:rsidRPr="001966B3">
        <w:t>northing and easting</w:t>
      </w:r>
      <w:r>
        <w:t xml:space="preserve"> values and triangulating these with a simple implementation of Pythagoras’s Theorem allows for a straight line distance to be derived between any two points.</w:t>
      </w:r>
    </w:p>
  </w:endnote>
  <w:endnote w:id="8">
    <w:p w:rsidR="00EB022E" w:rsidRPr="00336030" w:rsidRDefault="00EB022E" w:rsidP="001966B3">
      <w:pPr>
        <w:pStyle w:val="EndnoteText"/>
        <w:jc w:val="both"/>
        <w:rPr>
          <w:lang w:val="en-US"/>
        </w:rPr>
      </w:pPr>
      <w:r>
        <w:rPr>
          <w:rStyle w:val="EndnoteReference"/>
        </w:rPr>
        <w:endnoteRef/>
      </w:r>
      <w:r>
        <w:t xml:space="preserve"> </w:t>
      </w:r>
      <w:r>
        <w:rPr>
          <w:lang w:val="en-US"/>
        </w:rPr>
        <w:t>Additionally, quantile regression is more robust to outliers than mean-based least squares regression and is semiparametric in that it avoids assumptions about the parametric distribution of the error process.</w:t>
      </w:r>
    </w:p>
  </w:endnote>
  <w:endnote w:id="9">
    <w:p w:rsidR="00EB022E" w:rsidRPr="00336030" w:rsidRDefault="00EB022E" w:rsidP="001966B3">
      <w:pPr>
        <w:pStyle w:val="EndnoteText"/>
        <w:jc w:val="both"/>
        <w:rPr>
          <w:lang w:val="en-US"/>
        </w:rPr>
      </w:pPr>
      <w:r>
        <w:rPr>
          <w:rStyle w:val="EndnoteReference"/>
        </w:rPr>
        <w:endnoteRef/>
      </w:r>
      <w:r>
        <w:t xml:space="preserve"> </w:t>
      </w:r>
      <w:r>
        <w:rPr>
          <w:lang w:val="en-US"/>
        </w:rPr>
        <w:t>While the detailed decomposition of the component effect is path dependent, the aggregate decomposition is not and the results are invariable to the order in which we decompose equation [5].</w:t>
      </w:r>
    </w:p>
  </w:endnote>
  <w:endnote w:id="10">
    <w:p w:rsidR="00EB022E" w:rsidRDefault="00EB022E" w:rsidP="001966B3">
      <w:pPr>
        <w:pStyle w:val="EndnoteText"/>
        <w:jc w:val="both"/>
      </w:pPr>
      <w:r>
        <w:rPr>
          <w:rStyle w:val="EndnoteReference"/>
        </w:rPr>
        <w:endnoteRef/>
      </w:r>
      <w:r>
        <w:t xml:space="preserve"> Specifically, we implement the Stata module rqdeco.ado (see Melly, 2007) and while the procedure simplies the decomposition it makes no difference to results and conclusions drawn later. When the decomposition is simulated on a finite distribution the residual element is consistently only a minor component across all estimated quantiles.</w:t>
      </w:r>
    </w:p>
  </w:endnote>
  <w:endnote w:id="11">
    <w:p w:rsidR="00EB022E" w:rsidRDefault="00EB022E" w:rsidP="001966B3">
      <w:pPr>
        <w:pStyle w:val="EndnoteText"/>
        <w:jc w:val="both"/>
      </w:pPr>
      <w:r>
        <w:rPr>
          <w:rStyle w:val="EndnoteReference"/>
        </w:rPr>
        <w:endnoteRef/>
      </w:r>
      <w:r>
        <w:t xml:space="preserve"> Although not reported, this is driven by the fact that the majority of students (91.7%) domiciled in Scotland chose to study at a Scottish university. This is higher than any other region and can be reconciled with the fee regime in place, under which Scottish students do not pay university tuition fees if they study at a Scottish institution.</w:t>
      </w:r>
    </w:p>
  </w:endnote>
  <w:endnote w:id="12">
    <w:p w:rsidR="00EB022E" w:rsidRDefault="00EB022E" w:rsidP="001966B3">
      <w:pPr>
        <w:pStyle w:val="EndnoteText"/>
        <w:jc w:val="both"/>
      </w:pPr>
      <w:r>
        <w:rPr>
          <w:rStyle w:val="EndnoteReference"/>
        </w:rPr>
        <w:endnoteRef/>
      </w:r>
      <w:r>
        <w:t xml:space="preserve"> While there is obvious stickiness evident within the data with students having a tendency to gain employment in the same region as their university is located, the proportion (77.5%) is higher in London than in any of the other regions.</w:t>
      </w:r>
    </w:p>
  </w:endnote>
  <w:endnote w:id="13">
    <w:p w:rsidR="00EB022E" w:rsidRDefault="00EB022E" w:rsidP="001966B3">
      <w:pPr>
        <w:pStyle w:val="EndnoteText"/>
        <w:jc w:val="both"/>
      </w:pPr>
      <w:r>
        <w:rPr>
          <w:rStyle w:val="EndnoteReference"/>
        </w:rPr>
        <w:endnoteRef/>
      </w:r>
      <w:r>
        <w:t xml:space="preserve"> While arbitrary, such thresholds are sensible in light of the distances described in Table 2 and provide an informative span for the vast majority of regions.</w:t>
      </w:r>
    </w:p>
  </w:endnote>
  <w:endnote w:id="14">
    <w:p w:rsidR="00EB022E" w:rsidRDefault="00EB022E" w:rsidP="00B92FC3">
      <w:pPr>
        <w:pStyle w:val="EndnoteText"/>
        <w:jc w:val="both"/>
      </w:pPr>
      <w:r>
        <w:rPr>
          <w:rStyle w:val="EndnoteReference"/>
        </w:rPr>
        <w:endnoteRef/>
      </w:r>
      <w:r>
        <w:t xml:space="preserve"> Specifically, we fitted a seemingly unrelated bivariate probit model via maximum-likelihood estimation. See Greene (2003, 710-714) for an overview of the bivariate probit model.</w:t>
      </w:r>
    </w:p>
  </w:endnote>
  <w:endnote w:id="15">
    <w:p w:rsidR="00EB022E" w:rsidRDefault="00EB022E" w:rsidP="001966B3">
      <w:pPr>
        <w:pStyle w:val="EndnoteText"/>
        <w:jc w:val="both"/>
      </w:pPr>
      <w:r>
        <w:rPr>
          <w:rStyle w:val="EndnoteReference"/>
        </w:rPr>
        <w:endnoteRef/>
      </w:r>
      <w:r>
        <w:t xml:space="preserve"> These are university-wide grade point averages over a 7-point scale from the 2001 RAE.</w:t>
      </w:r>
    </w:p>
  </w:endnote>
  <w:endnote w:id="16">
    <w:p w:rsidR="00EB022E" w:rsidRDefault="00EB022E" w:rsidP="001966B3">
      <w:pPr>
        <w:pStyle w:val="EndnoteText"/>
        <w:jc w:val="both"/>
      </w:pPr>
      <w:r>
        <w:rPr>
          <w:rStyle w:val="EndnoteReference"/>
        </w:rPr>
        <w:endnoteRef/>
      </w:r>
      <w:r>
        <w:t xml:space="preserve"> More specifically, this is the number of institutions of the type (Russell Group etc.) attended by the respondent in his/her home region.</w:t>
      </w:r>
    </w:p>
  </w:endnote>
  <w:endnote w:id="17">
    <w:p w:rsidR="00EB022E" w:rsidRDefault="00EB022E" w:rsidP="001966B3">
      <w:pPr>
        <w:pStyle w:val="EndnoteText"/>
        <w:jc w:val="both"/>
      </w:pPr>
      <w:r>
        <w:rPr>
          <w:rStyle w:val="EndnoteReference"/>
        </w:rPr>
        <w:endnoteRef/>
      </w:r>
      <w:r>
        <w:t xml:space="preserve"> Moreover, the significance of the correlation term ρ is not restricted to the three distance measures reported and is evident when we designate any distance threshold between 5km and 100km.</w:t>
      </w:r>
    </w:p>
  </w:endnote>
  <w:endnote w:id="18">
    <w:p w:rsidR="00EB022E" w:rsidRDefault="00EB022E" w:rsidP="001966B3">
      <w:pPr>
        <w:pStyle w:val="EndnoteText"/>
        <w:jc w:val="both"/>
      </w:pPr>
      <w:r>
        <w:rPr>
          <w:rStyle w:val="EndnoteReference"/>
        </w:rPr>
        <w:endnoteRef/>
      </w:r>
      <w:r>
        <w:t xml:space="preserve"> This is consistent with the idea of mobility capital, or how “wandering potentialities are etched in a life story and feed on family experience … and personality” (Murphy-Lejeune, 2002, p9).</w:t>
      </w:r>
    </w:p>
  </w:endnote>
  <w:endnote w:id="19">
    <w:p w:rsidR="00EB022E" w:rsidRPr="00336030" w:rsidRDefault="00EB022E" w:rsidP="008B019B">
      <w:pPr>
        <w:pStyle w:val="EndnoteText"/>
        <w:jc w:val="both"/>
        <w:rPr>
          <w:lang w:val="en-US"/>
        </w:rPr>
      </w:pPr>
      <w:r>
        <w:rPr>
          <w:rStyle w:val="EndnoteReference"/>
        </w:rPr>
        <w:endnoteRef/>
      </w:r>
      <w:r>
        <w:t xml:space="preserve"> </w:t>
      </w:r>
      <w:r>
        <w:rPr>
          <w:lang w:val="en-US"/>
        </w:rPr>
        <w:t>There is a complicated pattern that needs to be described for the composition component but this in itself is not central to the story told here. In general, it is substantial for both stay-leaver and leave-stayer groups and declines in magnitude as we move along the earnings distribution and such effects are most pronounced at the 25km threshold. For move-returners, the composition effect is largely negligible at the 25km threshold but is much more important at higher thresholds. At 100km in particular it is the dominant component in the decomposition away from the more central parts of the earnings distribution. For the non-returning double-mover group, the composition effect dominates at the 25km threshold but is then only significant at 50/100km around the lower quartile and below.</w:t>
      </w:r>
    </w:p>
  </w:endnote>
  <w:endnote w:id="20">
    <w:p w:rsidR="00EB022E" w:rsidRDefault="00EB022E" w:rsidP="001966B3">
      <w:pPr>
        <w:pStyle w:val="EndnoteText"/>
        <w:jc w:val="both"/>
      </w:pPr>
      <w:r>
        <w:rPr>
          <w:rStyle w:val="EndnoteReference"/>
        </w:rPr>
        <w:endnoteRef/>
      </w:r>
      <w:r>
        <w:t xml:space="preserve"> Although a similarity in the profile shapes is maintained.</w:t>
      </w:r>
    </w:p>
  </w:endnote>
  <w:endnote w:id="21">
    <w:p w:rsidR="00EB022E" w:rsidRPr="00DE6EBC" w:rsidRDefault="00EB022E" w:rsidP="001966B3">
      <w:pPr>
        <w:spacing w:after="0" w:line="240" w:lineRule="auto"/>
        <w:jc w:val="both"/>
        <w:rPr>
          <w:color w:val="000000" w:themeColor="text1"/>
          <w:sz w:val="20"/>
          <w:szCs w:val="20"/>
        </w:rPr>
      </w:pPr>
      <w:r w:rsidRPr="00DE6EBC">
        <w:rPr>
          <w:rStyle w:val="EndnoteReference"/>
          <w:color w:val="000000" w:themeColor="text1"/>
          <w:sz w:val="20"/>
          <w:szCs w:val="20"/>
        </w:rPr>
        <w:endnoteRef/>
      </w:r>
      <w:r w:rsidRPr="00DE6EBC">
        <w:rPr>
          <w:color w:val="000000" w:themeColor="text1"/>
          <w:sz w:val="20"/>
          <w:szCs w:val="20"/>
        </w:rPr>
        <w:t xml:space="preserve"> As a robustness check, we also calculated results by defining mobility as a movement between two standard geographical regions, a definition adopted by the vast majority of the existing empirical literature. While a critique of such a definition of mobility is that </w:t>
      </w:r>
      <w:r w:rsidR="003B43CF">
        <w:rPr>
          <w:color w:val="000000" w:themeColor="text1"/>
          <w:sz w:val="20"/>
          <w:szCs w:val="20"/>
        </w:rPr>
        <w:t xml:space="preserve">it </w:t>
      </w:r>
      <w:r w:rsidRPr="00DE6EBC">
        <w:rPr>
          <w:color w:val="000000" w:themeColor="text1"/>
          <w:sz w:val="20"/>
          <w:szCs w:val="20"/>
        </w:rPr>
        <w:t xml:space="preserve">is a rather vague notion, in that movement from one region to another may potentially represent either a small (in the case of contiguous regions) or large distance, the pattern of results reported above </w:t>
      </w:r>
      <w:r>
        <w:rPr>
          <w:color w:val="000000" w:themeColor="text1"/>
          <w:sz w:val="20"/>
          <w:szCs w:val="20"/>
        </w:rPr>
        <w:t>does not change</w:t>
      </w:r>
      <w:r w:rsidRPr="00DE6EBC">
        <w:rPr>
          <w:color w:val="000000" w:themeColor="text1"/>
          <w:sz w:val="20"/>
          <w:szCs w:val="20"/>
        </w:rPr>
        <w:t>. In particular, the consistently highest premiums for the stay-leaver group and premiums associated with mobility in the move from university to employment are still apparent.</w:t>
      </w:r>
    </w:p>
    <w:p w:rsidR="00EB022E" w:rsidRDefault="00EB022E" w:rsidP="001966B3">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2E" w:rsidRDefault="00EB022E">
    <w:pPr>
      <w:pStyle w:val="Footer"/>
    </w:pPr>
  </w:p>
  <w:p w:rsidR="00EB022E" w:rsidRDefault="00EB0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538159"/>
      <w:docPartObj>
        <w:docPartGallery w:val="Page Numbers (Bottom of Page)"/>
        <w:docPartUnique/>
      </w:docPartObj>
    </w:sdtPr>
    <w:sdtEndPr>
      <w:rPr>
        <w:noProof/>
      </w:rPr>
    </w:sdtEndPr>
    <w:sdtContent>
      <w:p w:rsidR="00EB022E" w:rsidRDefault="00EB022E">
        <w:pPr>
          <w:pStyle w:val="Footer"/>
        </w:pPr>
        <w:r w:rsidRPr="005E7BFD">
          <w:rPr>
            <w:rFonts w:asciiTheme="minorHAnsi" w:hAnsiTheme="minorHAnsi"/>
            <w:sz w:val="22"/>
            <w:szCs w:val="22"/>
          </w:rPr>
          <w:fldChar w:fldCharType="begin"/>
        </w:r>
        <w:r w:rsidRPr="005E7BFD">
          <w:rPr>
            <w:rFonts w:asciiTheme="minorHAnsi" w:hAnsiTheme="minorHAnsi"/>
            <w:sz w:val="22"/>
            <w:szCs w:val="22"/>
          </w:rPr>
          <w:instrText xml:space="preserve"> PAGE   \* MERGEFORMAT </w:instrText>
        </w:r>
        <w:r w:rsidRPr="005E7BFD">
          <w:rPr>
            <w:rFonts w:asciiTheme="minorHAnsi" w:hAnsiTheme="minorHAnsi"/>
            <w:sz w:val="22"/>
            <w:szCs w:val="22"/>
          </w:rPr>
          <w:fldChar w:fldCharType="separate"/>
        </w:r>
        <w:r w:rsidR="00AC7326">
          <w:rPr>
            <w:rFonts w:asciiTheme="minorHAnsi" w:hAnsiTheme="minorHAnsi"/>
            <w:noProof/>
            <w:sz w:val="22"/>
            <w:szCs w:val="22"/>
          </w:rPr>
          <w:t>2</w:t>
        </w:r>
        <w:r w:rsidRPr="005E7BFD">
          <w:rPr>
            <w:rFonts w:asciiTheme="minorHAnsi" w:hAnsiTheme="minorHAnsi"/>
            <w:noProof/>
            <w:sz w:val="22"/>
            <w:szCs w:val="22"/>
          </w:rPr>
          <w:fldChar w:fldCharType="end"/>
        </w:r>
      </w:p>
    </w:sdtContent>
  </w:sdt>
  <w:p w:rsidR="00EB022E" w:rsidRDefault="00EB0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92E" w:rsidRDefault="00D2692E" w:rsidP="007D7390">
      <w:pPr>
        <w:spacing w:after="0" w:line="240" w:lineRule="auto"/>
      </w:pPr>
      <w:r>
        <w:separator/>
      </w:r>
    </w:p>
  </w:footnote>
  <w:footnote w:type="continuationSeparator" w:id="0">
    <w:p w:rsidR="00D2692E" w:rsidRDefault="00D2692E" w:rsidP="007D7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9pt;visibility:visible;mso-wrap-style:square" o:bullet="t">
        <v:imagedata r:id="rId1" o:title=""/>
      </v:shape>
    </w:pict>
  </w:numPicBullet>
  <w:abstractNum w:abstractNumId="0" w15:restartNumberingAfterBreak="0">
    <w:nsid w:val="74430DB6"/>
    <w:multiLevelType w:val="multilevel"/>
    <w:tmpl w:val="7CD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FD1"/>
    <w:multiLevelType w:val="hybridMultilevel"/>
    <w:tmpl w:val="17F67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A2F51"/>
    <w:multiLevelType w:val="hybridMultilevel"/>
    <w:tmpl w:val="DF240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22"/>
    <w:rsid w:val="00006CAB"/>
    <w:rsid w:val="00007535"/>
    <w:rsid w:val="00007CA5"/>
    <w:rsid w:val="00007F88"/>
    <w:rsid w:val="000108BB"/>
    <w:rsid w:val="00010A53"/>
    <w:rsid w:val="000118C8"/>
    <w:rsid w:val="000124EF"/>
    <w:rsid w:val="00013B3D"/>
    <w:rsid w:val="000145AD"/>
    <w:rsid w:val="00015067"/>
    <w:rsid w:val="0001544C"/>
    <w:rsid w:val="0001572A"/>
    <w:rsid w:val="00015FBF"/>
    <w:rsid w:val="00017565"/>
    <w:rsid w:val="00017E7D"/>
    <w:rsid w:val="000236A5"/>
    <w:rsid w:val="00024097"/>
    <w:rsid w:val="00026147"/>
    <w:rsid w:val="00026938"/>
    <w:rsid w:val="00027253"/>
    <w:rsid w:val="00027CDB"/>
    <w:rsid w:val="00027D76"/>
    <w:rsid w:val="00030C1F"/>
    <w:rsid w:val="0003122A"/>
    <w:rsid w:val="00032EE9"/>
    <w:rsid w:val="000337C4"/>
    <w:rsid w:val="00034BD6"/>
    <w:rsid w:val="00034F66"/>
    <w:rsid w:val="00035061"/>
    <w:rsid w:val="000361B9"/>
    <w:rsid w:val="00041A1E"/>
    <w:rsid w:val="00044ECF"/>
    <w:rsid w:val="00047568"/>
    <w:rsid w:val="0004758A"/>
    <w:rsid w:val="000478E4"/>
    <w:rsid w:val="000514AF"/>
    <w:rsid w:val="00051B0C"/>
    <w:rsid w:val="00052322"/>
    <w:rsid w:val="000524F4"/>
    <w:rsid w:val="000537CD"/>
    <w:rsid w:val="000540CF"/>
    <w:rsid w:val="00054176"/>
    <w:rsid w:val="000553B9"/>
    <w:rsid w:val="000560A5"/>
    <w:rsid w:val="00062B26"/>
    <w:rsid w:val="00062E28"/>
    <w:rsid w:val="000638D2"/>
    <w:rsid w:val="00063A1D"/>
    <w:rsid w:val="00063C69"/>
    <w:rsid w:val="0006618F"/>
    <w:rsid w:val="00070990"/>
    <w:rsid w:val="00072A9D"/>
    <w:rsid w:val="0007311A"/>
    <w:rsid w:val="000747EF"/>
    <w:rsid w:val="000749FE"/>
    <w:rsid w:val="00075841"/>
    <w:rsid w:val="000764FE"/>
    <w:rsid w:val="00076F0E"/>
    <w:rsid w:val="00084AAE"/>
    <w:rsid w:val="00085D22"/>
    <w:rsid w:val="00087F39"/>
    <w:rsid w:val="00092B44"/>
    <w:rsid w:val="0009362B"/>
    <w:rsid w:val="00095648"/>
    <w:rsid w:val="00096DDE"/>
    <w:rsid w:val="000A149C"/>
    <w:rsid w:val="000A3EA3"/>
    <w:rsid w:val="000A405E"/>
    <w:rsid w:val="000A5680"/>
    <w:rsid w:val="000A65F0"/>
    <w:rsid w:val="000A6EE7"/>
    <w:rsid w:val="000B0761"/>
    <w:rsid w:val="000B4DD0"/>
    <w:rsid w:val="000B616E"/>
    <w:rsid w:val="000B633D"/>
    <w:rsid w:val="000B6CF9"/>
    <w:rsid w:val="000B7223"/>
    <w:rsid w:val="000C0B5A"/>
    <w:rsid w:val="000C0FA1"/>
    <w:rsid w:val="000C1FE3"/>
    <w:rsid w:val="000C24BE"/>
    <w:rsid w:val="000C2AF9"/>
    <w:rsid w:val="000C31A2"/>
    <w:rsid w:val="000C3D65"/>
    <w:rsid w:val="000C503A"/>
    <w:rsid w:val="000C5D83"/>
    <w:rsid w:val="000C603F"/>
    <w:rsid w:val="000C7835"/>
    <w:rsid w:val="000D01CC"/>
    <w:rsid w:val="000D1DFD"/>
    <w:rsid w:val="000D24CE"/>
    <w:rsid w:val="000D2FB7"/>
    <w:rsid w:val="000D5645"/>
    <w:rsid w:val="000D5814"/>
    <w:rsid w:val="000D7015"/>
    <w:rsid w:val="000D7368"/>
    <w:rsid w:val="000E2408"/>
    <w:rsid w:val="000E29C8"/>
    <w:rsid w:val="000E2A43"/>
    <w:rsid w:val="000E2C12"/>
    <w:rsid w:val="000E4BE8"/>
    <w:rsid w:val="000E624F"/>
    <w:rsid w:val="000E6718"/>
    <w:rsid w:val="000F202D"/>
    <w:rsid w:val="000F2E48"/>
    <w:rsid w:val="000F2E75"/>
    <w:rsid w:val="000F544F"/>
    <w:rsid w:val="001008F3"/>
    <w:rsid w:val="00103124"/>
    <w:rsid w:val="00104CDA"/>
    <w:rsid w:val="0010561A"/>
    <w:rsid w:val="00106E12"/>
    <w:rsid w:val="001074E9"/>
    <w:rsid w:val="0010752F"/>
    <w:rsid w:val="00110000"/>
    <w:rsid w:val="00110F08"/>
    <w:rsid w:val="00112712"/>
    <w:rsid w:val="001139C4"/>
    <w:rsid w:val="0012100D"/>
    <w:rsid w:val="00122436"/>
    <w:rsid w:val="00122A79"/>
    <w:rsid w:val="00123046"/>
    <w:rsid w:val="001301E6"/>
    <w:rsid w:val="00131544"/>
    <w:rsid w:val="001318AE"/>
    <w:rsid w:val="00131CFA"/>
    <w:rsid w:val="00135624"/>
    <w:rsid w:val="001369BF"/>
    <w:rsid w:val="00140B45"/>
    <w:rsid w:val="00141989"/>
    <w:rsid w:val="00145DEE"/>
    <w:rsid w:val="00145DF5"/>
    <w:rsid w:val="00146A20"/>
    <w:rsid w:val="00146B61"/>
    <w:rsid w:val="00147B85"/>
    <w:rsid w:val="00147C97"/>
    <w:rsid w:val="001500AE"/>
    <w:rsid w:val="0015024C"/>
    <w:rsid w:val="001517D2"/>
    <w:rsid w:val="001527A2"/>
    <w:rsid w:val="00152BA5"/>
    <w:rsid w:val="00153F6C"/>
    <w:rsid w:val="001558B3"/>
    <w:rsid w:val="00155B8F"/>
    <w:rsid w:val="001562A2"/>
    <w:rsid w:val="00157521"/>
    <w:rsid w:val="00157960"/>
    <w:rsid w:val="00162367"/>
    <w:rsid w:val="001626DB"/>
    <w:rsid w:val="00162C9C"/>
    <w:rsid w:val="00166103"/>
    <w:rsid w:val="00170AB6"/>
    <w:rsid w:val="0017259D"/>
    <w:rsid w:val="001734E9"/>
    <w:rsid w:val="0017389B"/>
    <w:rsid w:val="00173B1D"/>
    <w:rsid w:val="0017406C"/>
    <w:rsid w:val="0017415E"/>
    <w:rsid w:val="00175093"/>
    <w:rsid w:val="001752A9"/>
    <w:rsid w:val="00175324"/>
    <w:rsid w:val="001756F8"/>
    <w:rsid w:val="00176025"/>
    <w:rsid w:val="00176F34"/>
    <w:rsid w:val="001772AC"/>
    <w:rsid w:val="00177AAD"/>
    <w:rsid w:val="00181B5C"/>
    <w:rsid w:val="00182305"/>
    <w:rsid w:val="00182696"/>
    <w:rsid w:val="00183BE5"/>
    <w:rsid w:val="00183FD3"/>
    <w:rsid w:val="00184A64"/>
    <w:rsid w:val="00192621"/>
    <w:rsid w:val="001926AE"/>
    <w:rsid w:val="00194069"/>
    <w:rsid w:val="0019430B"/>
    <w:rsid w:val="00196180"/>
    <w:rsid w:val="001966B3"/>
    <w:rsid w:val="001A05B4"/>
    <w:rsid w:val="001A1CA1"/>
    <w:rsid w:val="001A1D44"/>
    <w:rsid w:val="001A2DC5"/>
    <w:rsid w:val="001A4819"/>
    <w:rsid w:val="001A4CF8"/>
    <w:rsid w:val="001A5694"/>
    <w:rsid w:val="001A5EA0"/>
    <w:rsid w:val="001B1246"/>
    <w:rsid w:val="001B2F2F"/>
    <w:rsid w:val="001B3895"/>
    <w:rsid w:val="001B3A28"/>
    <w:rsid w:val="001B4A56"/>
    <w:rsid w:val="001B4FD3"/>
    <w:rsid w:val="001B579B"/>
    <w:rsid w:val="001C0E69"/>
    <w:rsid w:val="001C1418"/>
    <w:rsid w:val="001C2AED"/>
    <w:rsid w:val="001C5A9F"/>
    <w:rsid w:val="001C731E"/>
    <w:rsid w:val="001D05F6"/>
    <w:rsid w:val="001D075B"/>
    <w:rsid w:val="001D5ACC"/>
    <w:rsid w:val="001D6972"/>
    <w:rsid w:val="001E14FE"/>
    <w:rsid w:val="001E37D9"/>
    <w:rsid w:val="001E40A4"/>
    <w:rsid w:val="001E4882"/>
    <w:rsid w:val="001E4DB8"/>
    <w:rsid w:val="001E4FAB"/>
    <w:rsid w:val="001E666E"/>
    <w:rsid w:val="001E6866"/>
    <w:rsid w:val="001E710C"/>
    <w:rsid w:val="001F0136"/>
    <w:rsid w:val="001F18BB"/>
    <w:rsid w:val="001F3072"/>
    <w:rsid w:val="001F34B8"/>
    <w:rsid w:val="001F4B2D"/>
    <w:rsid w:val="001F7432"/>
    <w:rsid w:val="001F7CA5"/>
    <w:rsid w:val="00200345"/>
    <w:rsid w:val="00202209"/>
    <w:rsid w:val="00202348"/>
    <w:rsid w:val="00202EC0"/>
    <w:rsid w:val="0020351D"/>
    <w:rsid w:val="00203D65"/>
    <w:rsid w:val="0020463D"/>
    <w:rsid w:val="0020697D"/>
    <w:rsid w:val="002111CE"/>
    <w:rsid w:val="00212A9D"/>
    <w:rsid w:val="00214F46"/>
    <w:rsid w:val="002155C7"/>
    <w:rsid w:val="002157A2"/>
    <w:rsid w:val="0021688F"/>
    <w:rsid w:val="00220935"/>
    <w:rsid w:val="00220D6C"/>
    <w:rsid w:val="00220F93"/>
    <w:rsid w:val="00223C86"/>
    <w:rsid w:val="00224E0B"/>
    <w:rsid w:val="002266BD"/>
    <w:rsid w:val="00231ED6"/>
    <w:rsid w:val="00231F17"/>
    <w:rsid w:val="00232562"/>
    <w:rsid w:val="00233FCD"/>
    <w:rsid w:val="00236046"/>
    <w:rsid w:val="0023640F"/>
    <w:rsid w:val="002421B9"/>
    <w:rsid w:val="0024246B"/>
    <w:rsid w:val="002436D0"/>
    <w:rsid w:val="00243EB1"/>
    <w:rsid w:val="00246372"/>
    <w:rsid w:val="002468D9"/>
    <w:rsid w:val="00251628"/>
    <w:rsid w:val="00251DF4"/>
    <w:rsid w:val="00252266"/>
    <w:rsid w:val="00253580"/>
    <w:rsid w:val="002546D9"/>
    <w:rsid w:val="00255951"/>
    <w:rsid w:val="0025684A"/>
    <w:rsid w:val="00256DF7"/>
    <w:rsid w:val="00260B4B"/>
    <w:rsid w:val="00262B07"/>
    <w:rsid w:val="00262D0C"/>
    <w:rsid w:val="002631D3"/>
    <w:rsid w:val="00264936"/>
    <w:rsid w:val="00266302"/>
    <w:rsid w:val="00266398"/>
    <w:rsid w:val="002664EA"/>
    <w:rsid w:val="002665D8"/>
    <w:rsid w:val="00267A59"/>
    <w:rsid w:val="002719CA"/>
    <w:rsid w:val="0027229F"/>
    <w:rsid w:val="002727DD"/>
    <w:rsid w:val="00273253"/>
    <w:rsid w:val="00273329"/>
    <w:rsid w:val="00274423"/>
    <w:rsid w:val="002768F0"/>
    <w:rsid w:val="0028408D"/>
    <w:rsid w:val="002842B5"/>
    <w:rsid w:val="002845F8"/>
    <w:rsid w:val="0028726D"/>
    <w:rsid w:val="002877AD"/>
    <w:rsid w:val="002903CD"/>
    <w:rsid w:val="00291A32"/>
    <w:rsid w:val="0029272B"/>
    <w:rsid w:val="00293A76"/>
    <w:rsid w:val="00296429"/>
    <w:rsid w:val="002A0644"/>
    <w:rsid w:val="002A078F"/>
    <w:rsid w:val="002A2816"/>
    <w:rsid w:val="002A29C8"/>
    <w:rsid w:val="002A40EA"/>
    <w:rsid w:val="002A49DB"/>
    <w:rsid w:val="002A524C"/>
    <w:rsid w:val="002A7411"/>
    <w:rsid w:val="002A7FF6"/>
    <w:rsid w:val="002B2D66"/>
    <w:rsid w:val="002B5493"/>
    <w:rsid w:val="002B66B0"/>
    <w:rsid w:val="002B6BFB"/>
    <w:rsid w:val="002B7032"/>
    <w:rsid w:val="002B7E5E"/>
    <w:rsid w:val="002C1EC3"/>
    <w:rsid w:val="002C2516"/>
    <w:rsid w:val="002C35B3"/>
    <w:rsid w:val="002D0A07"/>
    <w:rsid w:val="002D128F"/>
    <w:rsid w:val="002D24D6"/>
    <w:rsid w:val="002D2CCA"/>
    <w:rsid w:val="002D51D9"/>
    <w:rsid w:val="002D6ADE"/>
    <w:rsid w:val="002D7029"/>
    <w:rsid w:val="002E0453"/>
    <w:rsid w:val="002E2BF5"/>
    <w:rsid w:val="002E3B0B"/>
    <w:rsid w:val="002E4709"/>
    <w:rsid w:val="002E5B01"/>
    <w:rsid w:val="002E5FD0"/>
    <w:rsid w:val="002E63FD"/>
    <w:rsid w:val="002E664F"/>
    <w:rsid w:val="002E69B9"/>
    <w:rsid w:val="002F123C"/>
    <w:rsid w:val="002F147A"/>
    <w:rsid w:val="002F2930"/>
    <w:rsid w:val="002F2F61"/>
    <w:rsid w:val="002F5FEB"/>
    <w:rsid w:val="00300275"/>
    <w:rsid w:val="003004CB"/>
    <w:rsid w:val="003009EE"/>
    <w:rsid w:val="0030125B"/>
    <w:rsid w:val="00302E3C"/>
    <w:rsid w:val="00303360"/>
    <w:rsid w:val="0030444C"/>
    <w:rsid w:val="00304A28"/>
    <w:rsid w:val="00305D18"/>
    <w:rsid w:val="0030698B"/>
    <w:rsid w:val="0031051E"/>
    <w:rsid w:val="003116B8"/>
    <w:rsid w:val="00312379"/>
    <w:rsid w:val="00312904"/>
    <w:rsid w:val="00312C93"/>
    <w:rsid w:val="00314969"/>
    <w:rsid w:val="00314D3D"/>
    <w:rsid w:val="0031671D"/>
    <w:rsid w:val="00316B9B"/>
    <w:rsid w:val="003221E4"/>
    <w:rsid w:val="00324784"/>
    <w:rsid w:val="00326022"/>
    <w:rsid w:val="00332D59"/>
    <w:rsid w:val="00333890"/>
    <w:rsid w:val="00334628"/>
    <w:rsid w:val="00334EB8"/>
    <w:rsid w:val="0033577C"/>
    <w:rsid w:val="00336030"/>
    <w:rsid w:val="0033697F"/>
    <w:rsid w:val="00336AC2"/>
    <w:rsid w:val="00336B80"/>
    <w:rsid w:val="00336E4B"/>
    <w:rsid w:val="003374E3"/>
    <w:rsid w:val="00341D13"/>
    <w:rsid w:val="00341FFE"/>
    <w:rsid w:val="003441FC"/>
    <w:rsid w:val="00344300"/>
    <w:rsid w:val="003443D8"/>
    <w:rsid w:val="003470FD"/>
    <w:rsid w:val="003476C9"/>
    <w:rsid w:val="0035005D"/>
    <w:rsid w:val="003544CA"/>
    <w:rsid w:val="0035656E"/>
    <w:rsid w:val="00357502"/>
    <w:rsid w:val="0036017D"/>
    <w:rsid w:val="0036036E"/>
    <w:rsid w:val="0036054C"/>
    <w:rsid w:val="0036098C"/>
    <w:rsid w:val="00361083"/>
    <w:rsid w:val="003615D9"/>
    <w:rsid w:val="003628BB"/>
    <w:rsid w:val="00363D7D"/>
    <w:rsid w:val="00363F2D"/>
    <w:rsid w:val="00363F89"/>
    <w:rsid w:val="003653FE"/>
    <w:rsid w:val="00366712"/>
    <w:rsid w:val="00367FAD"/>
    <w:rsid w:val="00372D81"/>
    <w:rsid w:val="00373646"/>
    <w:rsid w:val="00377267"/>
    <w:rsid w:val="003775F4"/>
    <w:rsid w:val="00377C7B"/>
    <w:rsid w:val="00383CAE"/>
    <w:rsid w:val="003848CC"/>
    <w:rsid w:val="00384D6B"/>
    <w:rsid w:val="00384FE7"/>
    <w:rsid w:val="003906BA"/>
    <w:rsid w:val="003919E7"/>
    <w:rsid w:val="00394BC3"/>
    <w:rsid w:val="00396A51"/>
    <w:rsid w:val="0039761D"/>
    <w:rsid w:val="00397899"/>
    <w:rsid w:val="003A1F2F"/>
    <w:rsid w:val="003A2ED9"/>
    <w:rsid w:val="003A3E84"/>
    <w:rsid w:val="003A5DE3"/>
    <w:rsid w:val="003B0105"/>
    <w:rsid w:val="003B0CA4"/>
    <w:rsid w:val="003B33AE"/>
    <w:rsid w:val="003B43CF"/>
    <w:rsid w:val="003B44F7"/>
    <w:rsid w:val="003B45B4"/>
    <w:rsid w:val="003B5314"/>
    <w:rsid w:val="003B6372"/>
    <w:rsid w:val="003B7214"/>
    <w:rsid w:val="003B79A8"/>
    <w:rsid w:val="003C22A1"/>
    <w:rsid w:val="003C3229"/>
    <w:rsid w:val="003C33E6"/>
    <w:rsid w:val="003C6287"/>
    <w:rsid w:val="003C7F8C"/>
    <w:rsid w:val="003D1B03"/>
    <w:rsid w:val="003D3E16"/>
    <w:rsid w:val="003D494B"/>
    <w:rsid w:val="003D4A12"/>
    <w:rsid w:val="003D5DC3"/>
    <w:rsid w:val="003D60F2"/>
    <w:rsid w:val="003E18F8"/>
    <w:rsid w:val="003E393D"/>
    <w:rsid w:val="003E4C9E"/>
    <w:rsid w:val="003E6338"/>
    <w:rsid w:val="003E65C8"/>
    <w:rsid w:val="003F0BC5"/>
    <w:rsid w:val="003F19E2"/>
    <w:rsid w:val="003F4763"/>
    <w:rsid w:val="003F4D7C"/>
    <w:rsid w:val="003F6008"/>
    <w:rsid w:val="003F6E02"/>
    <w:rsid w:val="003F71AE"/>
    <w:rsid w:val="00400F8F"/>
    <w:rsid w:val="00402416"/>
    <w:rsid w:val="00403588"/>
    <w:rsid w:val="00411CAB"/>
    <w:rsid w:val="004121D8"/>
    <w:rsid w:val="004128F9"/>
    <w:rsid w:val="00412CB0"/>
    <w:rsid w:val="00415131"/>
    <w:rsid w:val="00416E7C"/>
    <w:rsid w:val="0041715F"/>
    <w:rsid w:val="004175A7"/>
    <w:rsid w:val="00417670"/>
    <w:rsid w:val="00417EF7"/>
    <w:rsid w:val="0042274A"/>
    <w:rsid w:val="00422FB7"/>
    <w:rsid w:val="00423964"/>
    <w:rsid w:val="004242EA"/>
    <w:rsid w:val="0042478F"/>
    <w:rsid w:val="00425F53"/>
    <w:rsid w:val="00430F1B"/>
    <w:rsid w:val="00431EEE"/>
    <w:rsid w:val="00432AD7"/>
    <w:rsid w:val="00433AB7"/>
    <w:rsid w:val="00434B99"/>
    <w:rsid w:val="00435605"/>
    <w:rsid w:val="00435982"/>
    <w:rsid w:val="00436521"/>
    <w:rsid w:val="004415D1"/>
    <w:rsid w:val="00443E5B"/>
    <w:rsid w:val="00445800"/>
    <w:rsid w:val="00446463"/>
    <w:rsid w:val="0044786A"/>
    <w:rsid w:val="004503D7"/>
    <w:rsid w:val="0045365F"/>
    <w:rsid w:val="00453745"/>
    <w:rsid w:val="004541EF"/>
    <w:rsid w:val="00460870"/>
    <w:rsid w:val="00463E1F"/>
    <w:rsid w:val="00463F1F"/>
    <w:rsid w:val="00466005"/>
    <w:rsid w:val="00466037"/>
    <w:rsid w:val="00466ADF"/>
    <w:rsid w:val="004676EF"/>
    <w:rsid w:val="00470AF5"/>
    <w:rsid w:val="00470B7B"/>
    <w:rsid w:val="0047190A"/>
    <w:rsid w:val="00471BCA"/>
    <w:rsid w:val="00472449"/>
    <w:rsid w:val="00472828"/>
    <w:rsid w:val="0047352C"/>
    <w:rsid w:val="00474589"/>
    <w:rsid w:val="00474721"/>
    <w:rsid w:val="00477FB4"/>
    <w:rsid w:val="004811A3"/>
    <w:rsid w:val="00483C3F"/>
    <w:rsid w:val="00490719"/>
    <w:rsid w:val="00494A03"/>
    <w:rsid w:val="00496A2B"/>
    <w:rsid w:val="00496CA0"/>
    <w:rsid w:val="00497639"/>
    <w:rsid w:val="004A0012"/>
    <w:rsid w:val="004A0484"/>
    <w:rsid w:val="004A17CD"/>
    <w:rsid w:val="004A1EE0"/>
    <w:rsid w:val="004A52AB"/>
    <w:rsid w:val="004A5520"/>
    <w:rsid w:val="004A6DBC"/>
    <w:rsid w:val="004B1440"/>
    <w:rsid w:val="004B279A"/>
    <w:rsid w:val="004B4383"/>
    <w:rsid w:val="004B472C"/>
    <w:rsid w:val="004B55A4"/>
    <w:rsid w:val="004B65DC"/>
    <w:rsid w:val="004C1926"/>
    <w:rsid w:val="004C19E1"/>
    <w:rsid w:val="004C1BA9"/>
    <w:rsid w:val="004C230B"/>
    <w:rsid w:val="004C26D9"/>
    <w:rsid w:val="004C3403"/>
    <w:rsid w:val="004C5101"/>
    <w:rsid w:val="004C52D7"/>
    <w:rsid w:val="004C5566"/>
    <w:rsid w:val="004D29B5"/>
    <w:rsid w:val="004D384B"/>
    <w:rsid w:val="004D405C"/>
    <w:rsid w:val="004D4C62"/>
    <w:rsid w:val="004D50D8"/>
    <w:rsid w:val="004D7669"/>
    <w:rsid w:val="004E0FC1"/>
    <w:rsid w:val="004E4B9E"/>
    <w:rsid w:val="004E63FC"/>
    <w:rsid w:val="004E7A4D"/>
    <w:rsid w:val="004F0572"/>
    <w:rsid w:val="004F086C"/>
    <w:rsid w:val="004F19F3"/>
    <w:rsid w:val="004F3D4A"/>
    <w:rsid w:val="004F4889"/>
    <w:rsid w:val="004F503C"/>
    <w:rsid w:val="004F5592"/>
    <w:rsid w:val="004F566B"/>
    <w:rsid w:val="004F66EA"/>
    <w:rsid w:val="004F7FB1"/>
    <w:rsid w:val="0050283A"/>
    <w:rsid w:val="00502B0A"/>
    <w:rsid w:val="005043A9"/>
    <w:rsid w:val="00504EA6"/>
    <w:rsid w:val="00505FC7"/>
    <w:rsid w:val="00511FC7"/>
    <w:rsid w:val="005121B5"/>
    <w:rsid w:val="005121DF"/>
    <w:rsid w:val="0051483A"/>
    <w:rsid w:val="00515496"/>
    <w:rsid w:val="005156DD"/>
    <w:rsid w:val="00516F81"/>
    <w:rsid w:val="0052076F"/>
    <w:rsid w:val="00520850"/>
    <w:rsid w:val="005238F8"/>
    <w:rsid w:val="00524620"/>
    <w:rsid w:val="00525354"/>
    <w:rsid w:val="00525DA6"/>
    <w:rsid w:val="005274A5"/>
    <w:rsid w:val="00527796"/>
    <w:rsid w:val="00530B38"/>
    <w:rsid w:val="00530D82"/>
    <w:rsid w:val="00532D0E"/>
    <w:rsid w:val="0053361B"/>
    <w:rsid w:val="005336C9"/>
    <w:rsid w:val="00533C14"/>
    <w:rsid w:val="00533F06"/>
    <w:rsid w:val="0053483C"/>
    <w:rsid w:val="0053693F"/>
    <w:rsid w:val="00537C53"/>
    <w:rsid w:val="0054245F"/>
    <w:rsid w:val="00550F92"/>
    <w:rsid w:val="005526CF"/>
    <w:rsid w:val="00553076"/>
    <w:rsid w:val="00553F9C"/>
    <w:rsid w:val="00554787"/>
    <w:rsid w:val="005603FE"/>
    <w:rsid w:val="00561BDC"/>
    <w:rsid w:val="00563671"/>
    <w:rsid w:val="005639A9"/>
    <w:rsid w:val="00563BC7"/>
    <w:rsid w:val="005640E3"/>
    <w:rsid w:val="00565F58"/>
    <w:rsid w:val="00566CF0"/>
    <w:rsid w:val="00566E54"/>
    <w:rsid w:val="00567371"/>
    <w:rsid w:val="005707F6"/>
    <w:rsid w:val="005714F9"/>
    <w:rsid w:val="00574073"/>
    <w:rsid w:val="00574558"/>
    <w:rsid w:val="005774F9"/>
    <w:rsid w:val="0057770A"/>
    <w:rsid w:val="00580E7F"/>
    <w:rsid w:val="00581BEC"/>
    <w:rsid w:val="00583CF6"/>
    <w:rsid w:val="0058556E"/>
    <w:rsid w:val="00585A33"/>
    <w:rsid w:val="00586827"/>
    <w:rsid w:val="00587897"/>
    <w:rsid w:val="005900C7"/>
    <w:rsid w:val="0059101F"/>
    <w:rsid w:val="00593C4F"/>
    <w:rsid w:val="00595B65"/>
    <w:rsid w:val="0059640A"/>
    <w:rsid w:val="00596417"/>
    <w:rsid w:val="00596722"/>
    <w:rsid w:val="00597938"/>
    <w:rsid w:val="00597A40"/>
    <w:rsid w:val="005A3662"/>
    <w:rsid w:val="005A3CE1"/>
    <w:rsid w:val="005A6E96"/>
    <w:rsid w:val="005B192F"/>
    <w:rsid w:val="005B2B87"/>
    <w:rsid w:val="005B373B"/>
    <w:rsid w:val="005B4712"/>
    <w:rsid w:val="005B48E3"/>
    <w:rsid w:val="005B666C"/>
    <w:rsid w:val="005B73D3"/>
    <w:rsid w:val="005C0B8D"/>
    <w:rsid w:val="005C0FED"/>
    <w:rsid w:val="005C2225"/>
    <w:rsid w:val="005C525C"/>
    <w:rsid w:val="005C7AA8"/>
    <w:rsid w:val="005C7F26"/>
    <w:rsid w:val="005D02A4"/>
    <w:rsid w:val="005D0A45"/>
    <w:rsid w:val="005D18AC"/>
    <w:rsid w:val="005D71CB"/>
    <w:rsid w:val="005D71E2"/>
    <w:rsid w:val="005D7703"/>
    <w:rsid w:val="005E31CC"/>
    <w:rsid w:val="005E36EE"/>
    <w:rsid w:val="005E47E3"/>
    <w:rsid w:val="005E5212"/>
    <w:rsid w:val="005E7901"/>
    <w:rsid w:val="005E7BFD"/>
    <w:rsid w:val="005E7C27"/>
    <w:rsid w:val="005E7F4B"/>
    <w:rsid w:val="005F08D5"/>
    <w:rsid w:val="005F0D24"/>
    <w:rsid w:val="005F2A64"/>
    <w:rsid w:val="005F3495"/>
    <w:rsid w:val="005F3FBE"/>
    <w:rsid w:val="005F4440"/>
    <w:rsid w:val="005F47CE"/>
    <w:rsid w:val="005F4F94"/>
    <w:rsid w:val="005F6A79"/>
    <w:rsid w:val="005F79C5"/>
    <w:rsid w:val="00602779"/>
    <w:rsid w:val="00603598"/>
    <w:rsid w:val="00603659"/>
    <w:rsid w:val="00605ED8"/>
    <w:rsid w:val="0060656B"/>
    <w:rsid w:val="00610A1D"/>
    <w:rsid w:val="0061189A"/>
    <w:rsid w:val="00611A52"/>
    <w:rsid w:val="00612B95"/>
    <w:rsid w:val="00623535"/>
    <w:rsid w:val="0062448C"/>
    <w:rsid w:val="0062749C"/>
    <w:rsid w:val="006300EB"/>
    <w:rsid w:val="006307A2"/>
    <w:rsid w:val="00632FE1"/>
    <w:rsid w:val="00634CB8"/>
    <w:rsid w:val="006356ED"/>
    <w:rsid w:val="006372BC"/>
    <w:rsid w:val="00637D0C"/>
    <w:rsid w:val="00640AB5"/>
    <w:rsid w:val="0064183B"/>
    <w:rsid w:val="00642F7D"/>
    <w:rsid w:val="00643D05"/>
    <w:rsid w:val="006454B2"/>
    <w:rsid w:val="006472F6"/>
    <w:rsid w:val="00647BA7"/>
    <w:rsid w:val="00650292"/>
    <w:rsid w:val="00650A36"/>
    <w:rsid w:val="00650EC6"/>
    <w:rsid w:val="00651150"/>
    <w:rsid w:val="00651607"/>
    <w:rsid w:val="00652DE0"/>
    <w:rsid w:val="00656451"/>
    <w:rsid w:val="00656EC0"/>
    <w:rsid w:val="0066125F"/>
    <w:rsid w:val="00661F35"/>
    <w:rsid w:val="00662952"/>
    <w:rsid w:val="00663FB6"/>
    <w:rsid w:val="00665B0A"/>
    <w:rsid w:val="0066760C"/>
    <w:rsid w:val="00670221"/>
    <w:rsid w:val="00674088"/>
    <w:rsid w:val="006742E6"/>
    <w:rsid w:val="006758B5"/>
    <w:rsid w:val="00676504"/>
    <w:rsid w:val="00676A6C"/>
    <w:rsid w:val="00681022"/>
    <w:rsid w:val="00683AFE"/>
    <w:rsid w:val="0068505E"/>
    <w:rsid w:val="006875A7"/>
    <w:rsid w:val="00687E83"/>
    <w:rsid w:val="00692B37"/>
    <w:rsid w:val="00692FED"/>
    <w:rsid w:val="00693D30"/>
    <w:rsid w:val="006943AB"/>
    <w:rsid w:val="0069634C"/>
    <w:rsid w:val="006977C0"/>
    <w:rsid w:val="00697CBD"/>
    <w:rsid w:val="006A275B"/>
    <w:rsid w:val="006A27FC"/>
    <w:rsid w:val="006A3B2D"/>
    <w:rsid w:val="006A3B2E"/>
    <w:rsid w:val="006A4117"/>
    <w:rsid w:val="006A4136"/>
    <w:rsid w:val="006A505F"/>
    <w:rsid w:val="006A7189"/>
    <w:rsid w:val="006B077F"/>
    <w:rsid w:val="006B1DD7"/>
    <w:rsid w:val="006B1E6C"/>
    <w:rsid w:val="006B2167"/>
    <w:rsid w:val="006B4337"/>
    <w:rsid w:val="006B52A2"/>
    <w:rsid w:val="006B5335"/>
    <w:rsid w:val="006B6DDC"/>
    <w:rsid w:val="006C0C75"/>
    <w:rsid w:val="006C21C8"/>
    <w:rsid w:val="006C228A"/>
    <w:rsid w:val="006C2C87"/>
    <w:rsid w:val="006C442B"/>
    <w:rsid w:val="006C4AC9"/>
    <w:rsid w:val="006C5B56"/>
    <w:rsid w:val="006D16CF"/>
    <w:rsid w:val="006D1B95"/>
    <w:rsid w:val="006D3699"/>
    <w:rsid w:val="006D3B4E"/>
    <w:rsid w:val="006D4956"/>
    <w:rsid w:val="006D4D9C"/>
    <w:rsid w:val="006D6499"/>
    <w:rsid w:val="006D6AC5"/>
    <w:rsid w:val="006E08AB"/>
    <w:rsid w:val="006E4793"/>
    <w:rsid w:val="006E5F67"/>
    <w:rsid w:val="006E6410"/>
    <w:rsid w:val="006E6443"/>
    <w:rsid w:val="006E670D"/>
    <w:rsid w:val="006E6F4B"/>
    <w:rsid w:val="006E7136"/>
    <w:rsid w:val="006E731B"/>
    <w:rsid w:val="006F36FC"/>
    <w:rsid w:val="006F5285"/>
    <w:rsid w:val="006F53E0"/>
    <w:rsid w:val="006F6949"/>
    <w:rsid w:val="00702260"/>
    <w:rsid w:val="00704996"/>
    <w:rsid w:val="00704E20"/>
    <w:rsid w:val="00705B11"/>
    <w:rsid w:val="007069A8"/>
    <w:rsid w:val="007070F8"/>
    <w:rsid w:val="00710B3F"/>
    <w:rsid w:val="00712947"/>
    <w:rsid w:val="007134EA"/>
    <w:rsid w:val="0071499C"/>
    <w:rsid w:val="007173A4"/>
    <w:rsid w:val="0071758D"/>
    <w:rsid w:val="00720985"/>
    <w:rsid w:val="00720DBA"/>
    <w:rsid w:val="00724780"/>
    <w:rsid w:val="00725D28"/>
    <w:rsid w:val="00727496"/>
    <w:rsid w:val="0072756D"/>
    <w:rsid w:val="00730735"/>
    <w:rsid w:val="00731255"/>
    <w:rsid w:val="00731DB9"/>
    <w:rsid w:val="00731F8C"/>
    <w:rsid w:val="007320D9"/>
    <w:rsid w:val="00736CF7"/>
    <w:rsid w:val="007408E2"/>
    <w:rsid w:val="0074221A"/>
    <w:rsid w:val="0074410D"/>
    <w:rsid w:val="00744FC9"/>
    <w:rsid w:val="00754AD6"/>
    <w:rsid w:val="0076187E"/>
    <w:rsid w:val="00761DC8"/>
    <w:rsid w:val="007630BD"/>
    <w:rsid w:val="00763DEF"/>
    <w:rsid w:val="007643A5"/>
    <w:rsid w:val="00767D60"/>
    <w:rsid w:val="007700E0"/>
    <w:rsid w:val="00771C89"/>
    <w:rsid w:val="007746FE"/>
    <w:rsid w:val="00776613"/>
    <w:rsid w:val="00781D95"/>
    <w:rsid w:val="0078474D"/>
    <w:rsid w:val="00786A3F"/>
    <w:rsid w:val="00790B49"/>
    <w:rsid w:val="00790E68"/>
    <w:rsid w:val="007912B2"/>
    <w:rsid w:val="007913BA"/>
    <w:rsid w:val="007920DD"/>
    <w:rsid w:val="00792524"/>
    <w:rsid w:val="007931FA"/>
    <w:rsid w:val="007934C2"/>
    <w:rsid w:val="0079377F"/>
    <w:rsid w:val="00794C6C"/>
    <w:rsid w:val="00794DF8"/>
    <w:rsid w:val="00794E6F"/>
    <w:rsid w:val="00797552"/>
    <w:rsid w:val="007A0111"/>
    <w:rsid w:val="007A08EE"/>
    <w:rsid w:val="007A1F84"/>
    <w:rsid w:val="007A2E4B"/>
    <w:rsid w:val="007A42D3"/>
    <w:rsid w:val="007A55FF"/>
    <w:rsid w:val="007A598C"/>
    <w:rsid w:val="007B0268"/>
    <w:rsid w:val="007B09DC"/>
    <w:rsid w:val="007B2E4D"/>
    <w:rsid w:val="007B3B04"/>
    <w:rsid w:val="007B4295"/>
    <w:rsid w:val="007B507D"/>
    <w:rsid w:val="007B6BBD"/>
    <w:rsid w:val="007B7797"/>
    <w:rsid w:val="007C01BA"/>
    <w:rsid w:val="007C0D6C"/>
    <w:rsid w:val="007C13A7"/>
    <w:rsid w:val="007C5D17"/>
    <w:rsid w:val="007C7B35"/>
    <w:rsid w:val="007D10A9"/>
    <w:rsid w:val="007D49F1"/>
    <w:rsid w:val="007D4AAB"/>
    <w:rsid w:val="007D505E"/>
    <w:rsid w:val="007D54D4"/>
    <w:rsid w:val="007D6327"/>
    <w:rsid w:val="007D7390"/>
    <w:rsid w:val="007E0A06"/>
    <w:rsid w:val="007E17D6"/>
    <w:rsid w:val="007E5087"/>
    <w:rsid w:val="007E5936"/>
    <w:rsid w:val="007E68EC"/>
    <w:rsid w:val="007E6EE6"/>
    <w:rsid w:val="007E7C8A"/>
    <w:rsid w:val="007F4F5C"/>
    <w:rsid w:val="007F5A95"/>
    <w:rsid w:val="00800593"/>
    <w:rsid w:val="00801348"/>
    <w:rsid w:val="00801BE4"/>
    <w:rsid w:val="00802B33"/>
    <w:rsid w:val="00802D6A"/>
    <w:rsid w:val="008058C0"/>
    <w:rsid w:val="00805D4A"/>
    <w:rsid w:val="00806F19"/>
    <w:rsid w:val="0081093C"/>
    <w:rsid w:val="00811271"/>
    <w:rsid w:val="00814750"/>
    <w:rsid w:val="008151A4"/>
    <w:rsid w:val="008159A8"/>
    <w:rsid w:val="00816A03"/>
    <w:rsid w:val="0081736D"/>
    <w:rsid w:val="00817C48"/>
    <w:rsid w:val="0082009D"/>
    <w:rsid w:val="00820142"/>
    <w:rsid w:val="00820677"/>
    <w:rsid w:val="0082140B"/>
    <w:rsid w:val="00825B38"/>
    <w:rsid w:val="00825B4B"/>
    <w:rsid w:val="00826536"/>
    <w:rsid w:val="00826EA6"/>
    <w:rsid w:val="00831E03"/>
    <w:rsid w:val="00833F78"/>
    <w:rsid w:val="00834CDD"/>
    <w:rsid w:val="008359B9"/>
    <w:rsid w:val="0083628E"/>
    <w:rsid w:val="0083663C"/>
    <w:rsid w:val="008367E1"/>
    <w:rsid w:val="00837983"/>
    <w:rsid w:val="008405AE"/>
    <w:rsid w:val="00840E20"/>
    <w:rsid w:val="008418B5"/>
    <w:rsid w:val="00843F46"/>
    <w:rsid w:val="00844A1A"/>
    <w:rsid w:val="00845866"/>
    <w:rsid w:val="00845FB5"/>
    <w:rsid w:val="008464D6"/>
    <w:rsid w:val="008506EA"/>
    <w:rsid w:val="008506F2"/>
    <w:rsid w:val="008514DC"/>
    <w:rsid w:val="00854C79"/>
    <w:rsid w:val="00854FD6"/>
    <w:rsid w:val="008557B0"/>
    <w:rsid w:val="00860E6C"/>
    <w:rsid w:val="0086186D"/>
    <w:rsid w:val="00861B69"/>
    <w:rsid w:val="00864EA7"/>
    <w:rsid w:val="00865266"/>
    <w:rsid w:val="008665ED"/>
    <w:rsid w:val="008666D6"/>
    <w:rsid w:val="00866EF0"/>
    <w:rsid w:val="0087204C"/>
    <w:rsid w:val="008720FB"/>
    <w:rsid w:val="008745DF"/>
    <w:rsid w:val="00876E1B"/>
    <w:rsid w:val="008777A7"/>
    <w:rsid w:val="00880982"/>
    <w:rsid w:val="00881552"/>
    <w:rsid w:val="0088240F"/>
    <w:rsid w:val="00882CDB"/>
    <w:rsid w:val="00883079"/>
    <w:rsid w:val="008835AC"/>
    <w:rsid w:val="00883D10"/>
    <w:rsid w:val="0088448C"/>
    <w:rsid w:val="00884542"/>
    <w:rsid w:val="008851C4"/>
    <w:rsid w:val="00885563"/>
    <w:rsid w:val="0088678A"/>
    <w:rsid w:val="0088760B"/>
    <w:rsid w:val="00890723"/>
    <w:rsid w:val="00890C4C"/>
    <w:rsid w:val="008910EB"/>
    <w:rsid w:val="0089110C"/>
    <w:rsid w:val="00891FBE"/>
    <w:rsid w:val="0089203A"/>
    <w:rsid w:val="0089281A"/>
    <w:rsid w:val="00892D23"/>
    <w:rsid w:val="00893068"/>
    <w:rsid w:val="00893E05"/>
    <w:rsid w:val="008940C0"/>
    <w:rsid w:val="008944CF"/>
    <w:rsid w:val="00895236"/>
    <w:rsid w:val="0089634E"/>
    <w:rsid w:val="00896926"/>
    <w:rsid w:val="008A05F6"/>
    <w:rsid w:val="008A0A94"/>
    <w:rsid w:val="008A2DEE"/>
    <w:rsid w:val="008A560C"/>
    <w:rsid w:val="008A5CC9"/>
    <w:rsid w:val="008A65B9"/>
    <w:rsid w:val="008A663C"/>
    <w:rsid w:val="008A6D27"/>
    <w:rsid w:val="008B0047"/>
    <w:rsid w:val="008B019B"/>
    <w:rsid w:val="008B0D1D"/>
    <w:rsid w:val="008B37C1"/>
    <w:rsid w:val="008B3A8D"/>
    <w:rsid w:val="008B4519"/>
    <w:rsid w:val="008B572D"/>
    <w:rsid w:val="008B5C22"/>
    <w:rsid w:val="008B661C"/>
    <w:rsid w:val="008B67D1"/>
    <w:rsid w:val="008B6B64"/>
    <w:rsid w:val="008B710E"/>
    <w:rsid w:val="008C0179"/>
    <w:rsid w:val="008C1211"/>
    <w:rsid w:val="008C2CFC"/>
    <w:rsid w:val="008C7E62"/>
    <w:rsid w:val="008D1005"/>
    <w:rsid w:val="008D2083"/>
    <w:rsid w:val="008D4439"/>
    <w:rsid w:val="008D65E0"/>
    <w:rsid w:val="008E0EC6"/>
    <w:rsid w:val="008E1101"/>
    <w:rsid w:val="008E124F"/>
    <w:rsid w:val="008E1491"/>
    <w:rsid w:val="008E4237"/>
    <w:rsid w:val="008E47DD"/>
    <w:rsid w:val="008E533E"/>
    <w:rsid w:val="008E67A8"/>
    <w:rsid w:val="008F011F"/>
    <w:rsid w:val="008F162B"/>
    <w:rsid w:val="008F310D"/>
    <w:rsid w:val="008F4D89"/>
    <w:rsid w:val="008F66AF"/>
    <w:rsid w:val="008F6D6D"/>
    <w:rsid w:val="008F7441"/>
    <w:rsid w:val="008F7E00"/>
    <w:rsid w:val="00901BDE"/>
    <w:rsid w:val="00902A85"/>
    <w:rsid w:val="009034D4"/>
    <w:rsid w:val="009043CD"/>
    <w:rsid w:val="00906B28"/>
    <w:rsid w:val="0091155C"/>
    <w:rsid w:val="00911DBB"/>
    <w:rsid w:val="00912202"/>
    <w:rsid w:val="009130E7"/>
    <w:rsid w:val="00915D34"/>
    <w:rsid w:val="00915EAE"/>
    <w:rsid w:val="009165CA"/>
    <w:rsid w:val="009214C8"/>
    <w:rsid w:val="00921C99"/>
    <w:rsid w:val="00923CFF"/>
    <w:rsid w:val="00924A6D"/>
    <w:rsid w:val="00924BEC"/>
    <w:rsid w:val="00925581"/>
    <w:rsid w:val="009271D2"/>
    <w:rsid w:val="00927427"/>
    <w:rsid w:val="009274A3"/>
    <w:rsid w:val="00927A94"/>
    <w:rsid w:val="009331AB"/>
    <w:rsid w:val="009348DB"/>
    <w:rsid w:val="00934B1B"/>
    <w:rsid w:val="0093513B"/>
    <w:rsid w:val="00935C2A"/>
    <w:rsid w:val="009366C2"/>
    <w:rsid w:val="00936705"/>
    <w:rsid w:val="009377E9"/>
    <w:rsid w:val="00937CBE"/>
    <w:rsid w:val="00940689"/>
    <w:rsid w:val="009418D6"/>
    <w:rsid w:val="00941E7C"/>
    <w:rsid w:val="009475C6"/>
    <w:rsid w:val="009477FA"/>
    <w:rsid w:val="00947837"/>
    <w:rsid w:val="00947874"/>
    <w:rsid w:val="00947DD3"/>
    <w:rsid w:val="0095160E"/>
    <w:rsid w:val="00954324"/>
    <w:rsid w:val="009544D9"/>
    <w:rsid w:val="009572C0"/>
    <w:rsid w:val="00957546"/>
    <w:rsid w:val="009607E8"/>
    <w:rsid w:val="00960B91"/>
    <w:rsid w:val="009614A4"/>
    <w:rsid w:val="0096354F"/>
    <w:rsid w:val="009728AF"/>
    <w:rsid w:val="00972AD9"/>
    <w:rsid w:val="00972C0E"/>
    <w:rsid w:val="00973113"/>
    <w:rsid w:val="009733FB"/>
    <w:rsid w:val="009746A2"/>
    <w:rsid w:val="0098020E"/>
    <w:rsid w:val="00980283"/>
    <w:rsid w:val="0098094B"/>
    <w:rsid w:val="0098201F"/>
    <w:rsid w:val="00986495"/>
    <w:rsid w:val="0098699F"/>
    <w:rsid w:val="00990021"/>
    <w:rsid w:val="009901E8"/>
    <w:rsid w:val="0099050C"/>
    <w:rsid w:val="00991F5B"/>
    <w:rsid w:val="00993914"/>
    <w:rsid w:val="009945CC"/>
    <w:rsid w:val="009950AB"/>
    <w:rsid w:val="00995DE1"/>
    <w:rsid w:val="009A100A"/>
    <w:rsid w:val="009A3718"/>
    <w:rsid w:val="009A4C51"/>
    <w:rsid w:val="009B1876"/>
    <w:rsid w:val="009B1A6E"/>
    <w:rsid w:val="009B2692"/>
    <w:rsid w:val="009B2CCE"/>
    <w:rsid w:val="009B3331"/>
    <w:rsid w:val="009B3C42"/>
    <w:rsid w:val="009B5E1E"/>
    <w:rsid w:val="009B7A81"/>
    <w:rsid w:val="009C4472"/>
    <w:rsid w:val="009C5181"/>
    <w:rsid w:val="009C5666"/>
    <w:rsid w:val="009C646E"/>
    <w:rsid w:val="009C67C5"/>
    <w:rsid w:val="009C79B0"/>
    <w:rsid w:val="009D1F1C"/>
    <w:rsid w:val="009D32DA"/>
    <w:rsid w:val="009D4E31"/>
    <w:rsid w:val="009E0662"/>
    <w:rsid w:val="009E12F3"/>
    <w:rsid w:val="009E2038"/>
    <w:rsid w:val="009E20C0"/>
    <w:rsid w:val="009E2296"/>
    <w:rsid w:val="009E4D2B"/>
    <w:rsid w:val="009E5962"/>
    <w:rsid w:val="009E6421"/>
    <w:rsid w:val="009E6CAF"/>
    <w:rsid w:val="009E7061"/>
    <w:rsid w:val="009E7768"/>
    <w:rsid w:val="009F2F56"/>
    <w:rsid w:val="00A0008D"/>
    <w:rsid w:val="00A023C3"/>
    <w:rsid w:val="00A0248F"/>
    <w:rsid w:val="00A024AE"/>
    <w:rsid w:val="00A02C88"/>
    <w:rsid w:val="00A038EC"/>
    <w:rsid w:val="00A0468D"/>
    <w:rsid w:val="00A0596B"/>
    <w:rsid w:val="00A06319"/>
    <w:rsid w:val="00A06424"/>
    <w:rsid w:val="00A06DF6"/>
    <w:rsid w:val="00A103F1"/>
    <w:rsid w:val="00A117B9"/>
    <w:rsid w:val="00A13D73"/>
    <w:rsid w:val="00A1484F"/>
    <w:rsid w:val="00A1603C"/>
    <w:rsid w:val="00A162F6"/>
    <w:rsid w:val="00A17904"/>
    <w:rsid w:val="00A207D9"/>
    <w:rsid w:val="00A2184C"/>
    <w:rsid w:val="00A218DF"/>
    <w:rsid w:val="00A23C5D"/>
    <w:rsid w:val="00A2472E"/>
    <w:rsid w:val="00A24BAA"/>
    <w:rsid w:val="00A33817"/>
    <w:rsid w:val="00A3686E"/>
    <w:rsid w:val="00A415DD"/>
    <w:rsid w:val="00A43E71"/>
    <w:rsid w:val="00A45F11"/>
    <w:rsid w:val="00A462FC"/>
    <w:rsid w:val="00A4696B"/>
    <w:rsid w:val="00A47730"/>
    <w:rsid w:val="00A479D3"/>
    <w:rsid w:val="00A47CDE"/>
    <w:rsid w:val="00A50320"/>
    <w:rsid w:val="00A503AD"/>
    <w:rsid w:val="00A51243"/>
    <w:rsid w:val="00A515E5"/>
    <w:rsid w:val="00A51F9D"/>
    <w:rsid w:val="00A52215"/>
    <w:rsid w:val="00A5335A"/>
    <w:rsid w:val="00A5420C"/>
    <w:rsid w:val="00A5466A"/>
    <w:rsid w:val="00A561BC"/>
    <w:rsid w:val="00A6021C"/>
    <w:rsid w:val="00A6194A"/>
    <w:rsid w:val="00A62424"/>
    <w:rsid w:val="00A6348B"/>
    <w:rsid w:val="00A63671"/>
    <w:rsid w:val="00A642F5"/>
    <w:rsid w:val="00A6722F"/>
    <w:rsid w:val="00A674F9"/>
    <w:rsid w:val="00A7124C"/>
    <w:rsid w:val="00A71B20"/>
    <w:rsid w:val="00A730B3"/>
    <w:rsid w:val="00A740A5"/>
    <w:rsid w:val="00A74D29"/>
    <w:rsid w:val="00A7550F"/>
    <w:rsid w:val="00A75A37"/>
    <w:rsid w:val="00A808F0"/>
    <w:rsid w:val="00A819A5"/>
    <w:rsid w:val="00A81BA4"/>
    <w:rsid w:val="00A82D59"/>
    <w:rsid w:val="00A83F0E"/>
    <w:rsid w:val="00A84507"/>
    <w:rsid w:val="00A851B7"/>
    <w:rsid w:val="00A878F3"/>
    <w:rsid w:val="00A87B53"/>
    <w:rsid w:val="00A87C15"/>
    <w:rsid w:val="00A87ED9"/>
    <w:rsid w:val="00A90C39"/>
    <w:rsid w:val="00A913ED"/>
    <w:rsid w:val="00A9217C"/>
    <w:rsid w:val="00A94F76"/>
    <w:rsid w:val="00A95EE9"/>
    <w:rsid w:val="00A97174"/>
    <w:rsid w:val="00A97941"/>
    <w:rsid w:val="00AA4CAA"/>
    <w:rsid w:val="00AA5D17"/>
    <w:rsid w:val="00AA61E9"/>
    <w:rsid w:val="00AA733A"/>
    <w:rsid w:val="00AA7A01"/>
    <w:rsid w:val="00AA7C6E"/>
    <w:rsid w:val="00AB122B"/>
    <w:rsid w:val="00AB3AD6"/>
    <w:rsid w:val="00AB3AFA"/>
    <w:rsid w:val="00AB3FA8"/>
    <w:rsid w:val="00AB4003"/>
    <w:rsid w:val="00AB4F5B"/>
    <w:rsid w:val="00AB5807"/>
    <w:rsid w:val="00AB6987"/>
    <w:rsid w:val="00AB6EEE"/>
    <w:rsid w:val="00AB7357"/>
    <w:rsid w:val="00AC108B"/>
    <w:rsid w:val="00AC2DD7"/>
    <w:rsid w:val="00AC471F"/>
    <w:rsid w:val="00AC6E8A"/>
    <w:rsid w:val="00AC7326"/>
    <w:rsid w:val="00AD0256"/>
    <w:rsid w:val="00AD0456"/>
    <w:rsid w:val="00AD0534"/>
    <w:rsid w:val="00AD072C"/>
    <w:rsid w:val="00AD5005"/>
    <w:rsid w:val="00AD55A3"/>
    <w:rsid w:val="00AD7476"/>
    <w:rsid w:val="00AE0837"/>
    <w:rsid w:val="00AE0975"/>
    <w:rsid w:val="00AE1D6E"/>
    <w:rsid w:val="00AE4966"/>
    <w:rsid w:val="00AE4A5A"/>
    <w:rsid w:val="00AE5126"/>
    <w:rsid w:val="00AE6160"/>
    <w:rsid w:val="00AE6F31"/>
    <w:rsid w:val="00AE7211"/>
    <w:rsid w:val="00AE7F20"/>
    <w:rsid w:val="00AF0B10"/>
    <w:rsid w:val="00AF0B69"/>
    <w:rsid w:val="00AF1AF6"/>
    <w:rsid w:val="00AF2350"/>
    <w:rsid w:val="00AF3BEF"/>
    <w:rsid w:val="00AF3D38"/>
    <w:rsid w:val="00AF4621"/>
    <w:rsid w:val="00AF5D32"/>
    <w:rsid w:val="00AF6214"/>
    <w:rsid w:val="00AF68C0"/>
    <w:rsid w:val="00AF7937"/>
    <w:rsid w:val="00AF7DE8"/>
    <w:rsid w:val="00AF7FB7"/>
    <w:rsid w:val="00B01A9F"/>
    <w:rsid w:val="00B0255A"/>
    <w:rsid w:val="00B04E29"/>
    <w:rsid w:val="00B05FBC"/>
    <w:rsid w:val="00B06A77"/>
    <w:rsid w:val="00B07751"/>
    <w:rsid w:val="00B10392"/>
    <w:rsid w:val="00B1190D"/>
    <w:rsid w:val="00B14225"/>
    <w:rsid w:val="00B146D8"/>
    <w:rsid w:val="00B16C50"/>
    <w:rsid w:val="00B17421"/>
    <w:rsid w:val="00B20BD0"/>
    <w:rsid w:val="00B214E3"/>
    <w:rsid w:val="00B2279C"/>
    <w:rsid w:val="00B24531"/>
    <w:rsid w:val="00B31B62"/>
    <w:rsid w:val="00B323D3"/>
    <w:rsid w:val="00B328F2"/>
    <w:rsid w:val="00B32F46"/>
    <w:rsid w:val="00B33B6D"/>
    <w:rsid w:val="00B33FD9"/>
    <w:rsid w:val="00B3463E"/>
    <w:rsid w:val="00B36283"/>
    <w:rsid w:val="00B409DE"/>
    <w:rsid w:val="00B40B3F"/>
    <w:rsid w:val="00B41608"/>
    <w:rsid w:val="00B4217D"/>
    <w:rsid w:val="00B44ACE"/>
    <w:rsid w:val="00B44F37"/>
    <w:rsid w:val="00B450A4"/>
    <w:rsid w:val="00B4691D"/>
    <w:rsid w:val="00B4711E"/>
    <w:rsid w:val="00B507E6"/>
    <w:rsid w:val="00B50E3B"/>
    <w:rsid w:val="00B51CBF"/>
    <w:rsid w:val="00B544CA"/>
    <w:rsid w:val="00B54E7F"/>
    <w:rsid w:val="00B552C3"/>
    <w:rsid w:val="00B5629F"/>
    <w:rsid w:val="00B57459"/>
    <w:rsid w:val="00B60724"/>
    <w:rsid w:val="00B626B4"/>
    <w:rsid w:val="00B633F8"/>
    <w:rsid w:val="00B63F4C"/>
    <w:rsid w:val="00B64272"/>
    <w:rsid w:val="00B64842"/>
    <w:rsid w:val="00B7284F"/>
    <w:rsid w:val="00B72C7D"/>
    <w:rsid w:val="00B74FC7"/>
    <w:rsid w:val="00B75065"/>
    <w:rsid w:val="00B75A2B"/>
    <w:rsid w:val="00B75B43"/>
    <w:rsid w:val="00B76804"/>
    <w:rsid w:val="00B77CA5"/>
    <w:rsid w:val="00B813EC"/>
    <w:rsid w:val="00B8350D"/>
    <w:rsid w:val="00B83CB0"/>
    <w:rsid w:val="00B841CB"/>
    <w:rsid w:val="00B852B3"/>
    <w:rsid w:val="00B86E08"/>
    <w:rsid w:val="00B92FC3"/>
    <w:rsid w:val="00B94D57"/>
    <w:rsid w:val="00B94E69"/>
    <w:rsid w:val="00B959C0"/>
    <w:rsid w:val="00B974CA"/>
    <w:rsid w:val="00BA3024"/>
    <w:rsid w:val="00BA356A"/>
    <w:rsid w:val="00BA3D97"/>
    <w:rsid w:val="00BA42DE"/>
    <w:rsid w:val="00BA4FFB"/>
    <w:rsid w:val="00BA548F"/>
    <w:rsid w:val="00BA57DA"/>
    <w:rsid w:val="00BA6454"/>
    <w:rsid w:val="00BA673C"/>
    <w:rsid w:val="00BA7BEC"/>
    <w:rsid w:val="00BB1A93"/>
    <w:rsid w:val="00BB230A"/>
    <w:rsid w:val="00BB4599"/>
    <w:rsid w:val="00BB5E4A"/>
    <w:rsid w:val="00BB5EF1"/>
    <w:rsid w:val="00BC113B"/>
    <w:rsid w:val="00BC182D"/>
    <w:rsid w:val="00BC1AFF"/>
    <w:rsid w:val="00BC28A7"/>
    <w:rsid w:val="00BC3FE3"/>
    <w:rsid w:val="00BC731C"/>
    <w:rsid w:val="00BC7A73"/>
    <w:rsid w:val="00BD1887"/>
    <w:rsid w:val="00BD19D0"/>
    <w:rsid w:val="00BD2F23"/>
    <w:rsid w:val="00BD309D"/>
    <w:rsid w:val="00BD4447"/>
    <w:rsid w:val="00BD6AD6"/>
    <w:rsid w:val="00BE06F4"/>
    <w:rsid w:val="00BE2BE7"/>
    <w:rsid w:val="00BE3870"/>
    <w:rsid w:val="00BE3D59"/>
    <w:rsid w:val="00BE4C0A"/>
    <w:rsid w:val="00BE585C"/>
    <w:rsid w:val="00BE5BAB"/>
    <w:rsid w:val="00BE76E8"/>
    <w:rsid w:val="00BE7D81"/>
    <w:rsid w:val="00BF4A33"/>
    <w:rsid w:val="00BF4AEF"/>
    <w:rsid w:val="00BF507B"/>
    <w:rsid w:val="00BF56D1"/>
    <w:rsid w:val="00BF5891"/>
    <w:rsid w:val="00BF6852"/>
    <w:rsid w:val="00BF6F1C"/>
    <w:rsid w:val="00C00224"/>
    <w:rsid w:val="00C00E73"/>
    <w:rsid w:val="00C01676"/>
    <w:rsid w:val="00C02B22"/>
    <w:rsid w:val="00C0439E"/>
    <w:rsid w:val="00C05CF6"/>
    <w:rsid w:val="00C06016"/>
    <w:rsid w:val="00C07E1D"/>
    <w:rsid w:val="00C12209"/>
    <w:rsid w:val="00C13A18"/>
    <w:rsid w:val="00C14183"/>
    <w:rsid w:val="00C141A5"/>
    <w:rsid w:val="00C1454F"/>
    <w:rsid w:val="00C152C8"/>
    <w:rsid w:val="00C1577A"/>
    <w:rsid w:val="00C16D4F"/>
    <w:rsid w:val="00C16DBC"/>
    <w:rsid w:val="00C17B05"/>
    <w:rsid w:val="00C216A9"/>
    <w:rsid w:val="00C21DB5"/>
    <w:rsid w:val="00C228B7"/>
    <w:rsid w:val="00C22CEA"/>
    <w:rsid w:val="00C25051"/>
    <w:rsid w:val="00C2573C"/>
    <w:rsid w:val="00C25766"/>
    <w:rsid w:val="00C307BB"/>
    <w:rsid w:val="00C32773"/>
    <w:rsid w:val="00C32F56"/>
    <w:rsid w:val="00C3327F"/>
    <w:rsid w:val="00C33D24"/>
    <w:rsid w:val="00C33E94"/>
    <w:rsid w:val="00C34067"/>
    <w:rsid w:val="00C340AD"/>
    <w:rsid w:val="00C34475"/>
    <w:rsid w:val="00C34892"/>
    <w:rsid w:val="00C357B8"/>
    <w:rsid w:val="00C3584F"/>
    <w:rsid w:val="00C37F2F"/>
    <w:rsid w:val="00C4068A"/>
    <w:rsid w:val="00C45752"/>
    <w:rsid w:val="00C45E76"/>
    <w:rsid w:val="00C473FD"/>
    <w:rsid w:val="00C4771A"/>
    <w:rsid w:val="00C529DF"/>
    <w:rsid w:val="00C52B37"/>
    <w:rsid w:val="00C54FCE"/>
    <w:rsid w:val="00C5687E"/>
    <w:rsid w:val="00C57DAE"/>
    <w:rsid w:val="00C61CB3"/>
    <w:rsid w:val="00C636F0"/>
    <w:rsid w:val="00C71F4C"/>
    <w:rsid w:val="00C72CA5"/>
    <w:rsid w:val="00C73013"/>
    <w:rsid w:val="00C73778"/>
    <w:rsid w:val="00C74AAD"/>
    <w:rsid w:val="00C74FEC"/>
    <w:rsid w:val="00C75E09"/>
    <w:rsid w:val="00C7737C"/>
    <w:rsid w:val="00C775E5"/>
    <w:rsid w:val="00C778CA"/>
    <w:rsid w:val="00C77A3E"/>
    <w:rsid w:val="00C82B8C"/>
    <w:rsid w:val="00C831F2"/>
    <w:rsid w:val="00C836C8"/>
    <w:rsid w:val="00C845DF"/>
    <w:rsid w:val="00C846FB"/>
    <w:rsid w:val="00C8659C"/>
    <w:rsid w:val="00C91578"/>
    <w:rsid w:val="00C925E8"/>
    <w:rsid w:val="00C929D2"/>
    <w:rsid w:val="00C93978"/>
    <w:rsid w:val="00C93B50"/>
    <w:rsid w:val="00C94F01"/>
    <w:rsid w:val="00C94FCE"/>
    <w:rsid w:val="00C9547E"/>
    <w:rsid w:val="00C955D3"/>
    <w:rsid w:val="00C9574F"/>
    <w:rsid w:val="00C96893"/>
    <w:rsid w:val="00C9791B"/>
    <w:rsid w:val="00C97D48"/>
    <w:rsid w:val="00CA1422"/>
    <w:rsid w:val="00CA3FDD"/>
    <w:rsid w:val="00CA45B9"/>
    <w:rsid w:val="00CA4649"/>
    <w:rsid w:val="00CA6B34"/>
    <w:rsid w:val="00CA7C0D"/>
    <w:rsid w:val="00CB0C9D"/>
    <w:rsid w:val="00CB2123"/>
    <w:rsid w:val="00CB2496"/>
    <w:rsid w:val="00CB2D35"/>
    <w:rsid w:val="00CB4CA0"/>
    <w:rsid w:val="00CB6BE0"/>
    <w:rsid w:val="00CC00B7"/>
    <w:rsid w:val="00CC052A"/>
    <w:rsid w:val="00CC2D62"/>
    <w:rsid w:val="00CC3273"/>
    <w:rsid w:val="00CC5C44"/>
    <w:rsid w:val="00CC6A22"/>
    <w:rsid w:val="00CC76AC"/>
    <w:rsid w:val="00CC7ACF"/>
    <w:rsid w:val="00CD04D0"/>
    <w:rsid w:val="00CD0D82"/>
    <w:rsid w:val="00CD1B8A"/>
    <w:rsid w:val="00CD2970"/>
    <w:rsid w:val="00CD300D"/>
    <w:rsid w:val="00CD6D41"/>
    <w:rsid w:val="00CD79D3"/>
    <w:rsid w:val="00CE205A"/>
    <w:rsid w:val="00CE2900"/>
    <w:rsid w:val="00CE2D2F"/>
    <w:rsid w:val="00CE4C67"/>
    <w:rsid w:val="00CE61D8"/>
    <w:rsid w:val="00CE65F1"/>
    <w:rsid w:val="00CE674B"/>
    <w:rsid w:val="00CE6E1C"/>
    <w:rsid w:val="00CE73E6"/>
    <w:rsid w:val="00CE79E7"/>
    <w:rsid w:val="00CF02BE"/>
    <w:rsid w:val="00CF3091"/>
    <w:rsid w:val="00CF6439"/>
    <w:rsid w:val="00CF7DA8"/>
    <w:rsid w:val="00D00B67"/>
    <w:rsid w:val="00D00B75"/>
    <w:rsid w:val="00D00BB1"/>
    <w:rsid w:val="00D01B82"/>
    <w:rsid w:val="00D01DEB"/>
    <w:rsid w:val="00D04362"/>
    <w:rsid w:val="00D05C14"/>
    <w:rsid w:val="00D06ABF"/>
    <w:rsid w:val="00D110FE"/>
    <w:rsid w:val="00D1128C"/>
    <w:rsid w:val="00D12D6F"/>
    <w:rsid w:val="00D13012"/>
    <w:rsid w:val="00D13677"/>
    <w:rsid w:val="00D14C89"/>
    <w:rsid w:val="00D165C7"/>
    <w:rsid w:val="00D1667B"/>
    <w:rsid w:val="00D176AC"/>
    <w:rsid w:val="00D2145D"/>
    <w:rsid w:val="00D22F56"/>
    <w:rsid w:val="00D233FD"/>
    <w:rsid w:val="00D26054"/>
    <w:rsid w:val="00D2692E"/>
    <w:rsid w:val="00D2765E"/>
    <w:rsid w:val="00D3024C"/>
    <w:rsid w:val="00D30EC6"/>
    <w:rsid w:val="00D31868"/>
    <w:rsid w:val="00D32802"/>
    <w:rsid w:val="00D33E40"/>
    <w:rsid w:val="00D356C4"/>
    <w:rsid w:val="00D357CD"/>
    <w:rsid w:val="00D36CAE"/>
    <w:rsid w:val="00D3724B"/>
    <w:rsid w:val="00D415B2"/>
    <w:rsid w:val="00D426F5"/>
    <w:rsid w:val="00D4330C"/>
    <w:rsid w:val="00D43D6D"/>
    <w:rsid w:val="00D451CC"/>
    <w:rsid w:val="00D46776"/>
    <w:rsid w:val="00D5006C"/>
    <w:rsid w:val="00D502D4"/>
    <w:rsid w:val="00D50502"/>
    <w:rsid w:val="00D5072C"/>
    <w:rsid w:val="00D52766"/>
    <w:rsid w:val="00D54262"/>
    <w:rsid w:val="00D542AE"/>
    <w:rsid w:val="00D54527"/>
    <w:rsid w:val="00D54E5A"/>
    <w:rsid w:val="00D566F0"/>
    <w:rsid w:val="00D6292F"/>
    <w:rsid w:val="00D6317D"/>
    <w:rsid w:val="00D631D3"/>
    <w:rsid w:val="00D6463A"/>
    <w:rsid w:val="00D72F57"/>
    <w:rsid w:val="00D7312E"/>
    <w:rsid w:val="00D738A2"/>
    <w:rsid w:val="00D73EC5"/>
    <w:rsid w:val="00D74E35"/>
    <w:rsid w:val="00D74FAF"/>
    <w:rsid w:val="00D75882"/>
    <w:rsid w:val="00D77361"/>
    <w:rsid w:val="00D77AD7"/>
    <w:rsid w:val="00D80458"/>
    <w:rsid w:val="00D804C4"/>
    <w:rsid w:val="00D82C47"/>
    <w:rsid w:val="00D82E63"/>
    <w:rsid w:val="00D8356E"/>
    <w:rsid w:val="00D8370F"/>
    <w:rsid w:val="00D840BD"/>
    <w:rsid w:val="00D84858"/>
    <w:rsid w:val="00D85AAA"/>
    <w:rsid w:val="00D85E15"/>
    <w:rsid w:val="00D906F3"/>
    <w:rsid w:val="00D90BF5"/>
    <w:rsid w:val="00D92902"/>
    <w:rsid w:val="00D935F9"/>
    <w:rsid w:val="00D96D8A"/>
    <w:rsid w:val="00D97D5E"/>
    <w:rsid w:val="00DA0384"/>
    <w:rsid w:val="00DA07B4"/>
    <w:rsid w:val="00DA329F"/>
    <w:rsid w:val="00DA4CD8"/>
    <w:rsid w:val="00DA58A5"/>
    <w:rsid w:val="00DA7090"/>
    <w:rsid w:val="00DB0263"/>
    <w:rsid w:val="00DB0B97"/>
    <w:rsid w:val="00DB0D56"/>
    <w:rsid w:val="00DB1B72"/>
    <w:rsid w:val="00DB1BBA"/>
    <w:rsid w:val="00DB1DB9"/>
    <w:rsid w:val="00DB48FC"/>
    <w:rsid w:val="00DB6AA0"/>
    <w:rsid w:val="00DC0561"/>
    <w:rsid w:val="00DC1493"/>
    <w:rsid w:val="00DC1C05"/>
    <w:rsid w:val="00DC1EF1"/>
    <w:rsid w:val="00DC426B"/>
    <w:rsid w:val="00DC430A"/>
    <w:rsid w:val="00DC4A96"/>
    <w:rsid w:val="00DC4E17"/>
    <w:rsid w:val="00DC645B"/>
    <w:rsid w:val="00DC6FD4"/>
    <w:rsid w:val="00DC75CE"/>
    <w:rsid w:val="00DC7B0F"/>
    <w:rsid w:val="00DD3FA9"/>
    <w:rsid w:val="00DD47CE"/>
    <w:rsid w:val="00DD6832"/>
    <w:rsid w:val="00DD743E"/>
    <w:rsid w:val="00DE0494"/>
    <w:rsid w:val="00DE059F"/>
    <w:rsid w:val="00DE0CE6"/>
    <w:rsid w:val="00DE0E0C"/>
    <w:rsid w:val="00DE10FE"/>
    <w:rsid w:val="00DE165D"/>
    <w:rsid w:val="00DE5544"/>
    <w:rsid w:val="00DE67D5"/>
    <w:rsid w:val="00DE696C"/>
    <w:rsid w:val="00DE6BEC"/>
    <w:rsid w:val="00DE6EBC"/>
    <w:rsid w:val="00DE77E2"/>
    <w:rsid w:val="00DF0112"/>
    <w:rsid w:val="00DF215E"/>
    <w:rsid w:val="00DF4B4E"/>
    <w:rsid w:val="00DF5C31"/>
    <w:rsid w:val="00DF5EBE"/>
    <w:rsid w:val="00DF755F"/>
    <w:rsid w:val="00E02026"/>
    <w:rsid w:val="00E02915"/>
    <w:rsid w:val="00E06188"/>
    <w:rsid w:val="00E06AF4"/>
    <w:rsid w:val="00E07386"/>
    <w:rsid w:val="00E12F52"/>
    <w:rsid w:val="00E13311"/>
    <w:rsid w:val="00E1346E"/>
    <w:rsid w:val="00E139B3"/>
    <w:rsid w:val="00E1591B"/>
    <w:rsid w:val="00E15A1C"/>
    <w:rsid w:val="00E16BB3"/>
    <w:rsid w:val="00E17AF4"/>
    <w:rsid w:val="00E206A2"/>
    <w:rsid w:val="00E25803"/>
    <w:rsid w:val="00E278A2"/>
    <w:rsid w:val="00E27F1F"/>
    <w:rsid w:val="00E313F1"/>
    <w:rsid w:val="00E32458"/>
    <w:rsid w:val="00E32AEA"/>
    <w:rsid w:val="00E32D91"/>
    <w:rsid w:val="00E32EAD"/>
    <w:rsid w:val="00E33872"/>
    <w:rsid w:val="00E33E57"/>
    <w:rsid w:val="00E34EB2"/>
    <w:rsid w:val="00E35C8E"/>
    <w:rsid w:val="00E36BE8"/>
    <w:rsid w:val="00E37576"/>
    <w:rsid w:val="00E402D2"/>
    <w:rsid w:val="00E4196C"/>
    <w:rsid w:val="00E42A0F"/>
    <w:rsid w:val="00E4452B"/>
    <w:rsid w:val="00E47271"/>
    <w:rsid w:val="00E50391"/>
    <w:rsid w:val="00E5108F"/>
    <w:rsid w:val="00E518C1"/>
    <w:rsid w:val="00E51C93"/>
    <w:rsid w:val="00E52077"/>
    <w:rsid w:val="00E53914"/>
    <w:rsid w:val="00E543F1"/>
    <w:rsid w:val="00E546BD"/>
    <w:rsid w:val="00E565E5"/>
    <w:rsid w:val="00E56F1E"/>
    <w:rsid w:val="00E5796A"/>
    <w:rsid w:val="00E63365"/>
    <w:rsid w:val="00E646C6"/>
    <w:rsid w:val="00E648C1"/>
    <w:rsid w:val="00E64EF8"/>
    <w:rsid w:val="00E64F47"/>
    <w:rsid w:val="00E65F66"/>
    <w:rsid w:val="00E661A2"/>
    <w:rsid w:val="00E66E19"/>
    <w:rsid w:val="00E7114D"/>
    <w:rsid w:val="00E71910"/>
    <w:rsid w:val="00E72BE6"/>
    <w:rsid w:val="00E744B1"/>
    <w:rsid w:val="00E7539D"/>
    <w:rsid w:val="00E7544D"/>
    <w:rsid w:val="00E80401"/>
    <w:rsid w:val="00E80849"/>
    <w:rsid w:val="00E80F41"/>
    <w:rsid w:val="00E82FC7"/>
    <w:rsid w:val="00E832C8"/>
    <w:rsid w:val="00E83A9B"/>
    <w:rsid w:val="00E83DCF"/>
    <w:rsid w:val="00E84594"/>
    <w:rsid w:val="00E86CD2"/>
    <w:rsid w:val="00E870F6"/>
    <w:rsid w:val="00E87A35"/>
    <w:rsid w:val="00E90210"/>
    <w:rsid w:val="00E92BF9"/>
    <w:rsid w:val="00E934AD"/>
    <w:rsid w:val="00E9364A"/>
    <w:rsid w:val="00E93A2D"/>
    <w:rsid w:val="00E945DF"/>
    <w:rsid w:val="00E96183"/>
    <w:rsid w:val="00E962BD"/>
    <w:rsid w:val="00E964E8"/>
    <w:rsid w:val="00E97408"/>
    <w:rsid w:val="00E97D28"/>
    <w:rsid w:val="00EA0848"/>
    <w:rsid w:val="00EA09BD"/>
    <w:rsid w:val="00EA2312"/>
    <w:rsid w:val="00EA5517"/>
    <w:rsid w:val="00EA5C42"/>
    <w:rsid w:val="00EA6DC4"/>
    <w:rsid w:val="00EA7961"/>
    <w:rsid w:val="00EB022E"/>
    <w:rsid w:val="00EB04F7"/>
    <w:rsid w:val="00EB1B21"/>
    <w:rsid w:val="00EB2D49"/>
    <w:rsid w:val="00EB3578"/>
    <w:rsid w:val="00EB3928"/>
    <w:rsid w:val="00EB5369"/>
    <w:rsid w:val="00EB7785"/>
    <w:rsid w:val="00EC0327"/>
    <w:rsid w:val="00EC12E9"/>
    <w:rsid w:val="00EC14F4"/>
    <w:rsid w:val="00EC3399"/>
    <w:rsid w:val="00ED079E"/>
    <w:rsid w:val="00ED0B00"/>
    <w:rsid w:val="00ED251C"/>
    <w:rsid w:val="00ED312C"/>
    <w:rsid w:val="00ED3258"/>
    <w:rsid w:val="00ED35D0"/>
    <w:rsid w:val="00ED3A3E"/>
    <w:rsid w:val="00ED6440"/>
    <w:rsid w:val="00ED700D"/>
    <w:rsid w:val="00EE1505"/>
    <w:rsid w:val="00EE3027"/>
    <w:rsid w:val="00EE465E"/>
    <w:rsid w:val="00EF29B3"/>
    <w:rsid w:val="00EF3307"/>
    <w:rsid w:val="00EF37E2"/>
    <w:rsid w:val="00EF55DE"/>
    <w:rsid w:val="00EF7F40"/>
    <w:rsid w:val="00F00DCD"/>
    <w:rsid w:val="00F012A0"/>
    <w:rsid w:val="00F0189D"/>
    <w:rsid w:val="00F01F85"/>
    <w:rsid w:val="00F04751"/>
    <w:rsid w:val="00F06A31"/>
    <w:rsid w:val="00F0797B"/>
    <w:rsid w:val="00F113A9"/>
    <w:rsid w:val="00F12F18"/>
    <w:rsid w:val="00F13B0A"/>
    <w:rsid w:val="00F15401"/>
    <w:rsid w:val="00F17570"/>
    <w:rsid w:val="00F17980"/>
    <w:rsid w:val="00F17E49"/>
    <w:rsid w:val="00F201D3"/>
    <w:rsid w:val="00F20D89"/>
    <w:rsid w:val="00F23C7E"/>
    <w:rsid w:val="00F2508C"/>
    <w:rsid w:val="00F262BE"/>
    <w:rsid w:val="00F263CD"/>
    <w:rsid w:val="00F26E9D"/>
    <w:rsid w:val="00F27AE4"/>
    <w:rsid w:val="00F27CEF"/>
    <w:rsid w:val="00F30542"/>
    <w:rsid w:val="00F31A32"/>
    <w:rsid w:val="00F31F34"/>
    <w:rsid w:val="00F32B2B"/>
    <w:rsid w:val="00F34432"/>
    <w:rsid w:val="00F363B4"/>
    <w:rsid w:val="00F37FD9"/>
    <w:rsid w:val="00F405B9"/>
    <w:rsid w:val="00F4123B"/>
    <w:rsid w:val="00F42C25"/>
    <w:rsid w:val="00F4558A"/>
    <w:rsid w:val="00F4712C"/>
    <w:rsid w:val="00F5042A"/>
    <w:rsid w:val="00F51FCE"/>
    <w:rsid w:val="00F531BF"/>
    <w:rsid w:val="00F54C43"/>
    <w:rsid w:val="00F55831"/>
    <w:rsid w:val="00F560C0"/>
    <w:rsid w:val="00F5624C"/>
    <w:rsid w:val="00F5754B"/>
    <w:rsid w:val="00F618FE"/>
    <w:rsid w:val="00F64586"/>
    <w:rsid w:val="00F64C91"/>
    <w:rsid w:val="00F64E16"/>
    <w:rsid w:val="00F6574D"/>
    <w:rsid w:val="00F669E4"/>
    <w:rsid w:val="00F66B8D"/>
    <w:rsid w:val="00F677CF"/>
    <w:rsid w:val="00F7063C"/>
    <w:rsid w:val="00F709CB"/>
    <w:rsid w:val="00F7221F"/>
    <w:rsid w:val="00F7437A"/>
    <w:rsid w:val="00F75554"/>
    <w:rsid w:val="00F75CB6"/>
    <w:rsid w:val="00F807CE"/>
    <w:rsid w:val="00F80991"/>
    <w:rsid w:val="00F80EAD"/>
    <w:rsid w:val="00F80EF3"/>
    <w:rsid w:val="00F82E6F"/>
    <w:rsid w:val="00F8320F"/>
    <w:rsid w:val="00F833A8"/>
    <w:rsid w:val="00F83748"/>
    <w:rsid w:val="00F83770"/>
    <w:rsid w:val="00F84215"/>
    <w:rsid w:val="00F84510"/>
    <w:rsid w:val="00F86E7C"/>
    <w:rsid w:val="00F91DE5"/>
    <w:rsid w:val="00F91E58"/>
    <w:rsid w:val="00F92F9B"/>
    <w:rsid w:val="00F95EC6"/>
    <w:rsid w:val="00F97EF0"/>
    <w:rsid w:val="00FA24DC"/>
    <w:rsid w:val="00FA4630"/>
    <w:rsid w:val="00FA4CCD"/>
    <w:rsid w:val="00FA5C20"/>
    <w:rsid w:val="00FA661B"/>
    <w:rsid w:val="00FB2789"/>
    <w:rsid w:val="00FB2FCA"/>
    <w:rsid w:val="00FB4392"/>
    <w:rsid w:val="00FB4CEA"/>
    <w:rsid w:val="00FB749E"/>
    <w:rsid w:val="00FB763E"/>
    <w:rsid w:val="00FC2291"/>
    <w:rsid w:val="00FC26BC"/>
    <w:rsid w:val="00FC2BC6"/>
    <w:rsid w:val="00FC309A"/>
    <w:rsid w:val="00FC75CD"/>
    <w:rsid w:val="00FC7FC1"/>
    <w:rsid w:val="00FD0B22"/>
    <w:rsid w:val="00FD1BD1"/>
    <w:rsid w:val="00FD2138"/>
    <w:rsid w:val="00FD21E0"/>
    <w:rsid w:val="00FD2ED6"/>
    <w:rsid w:val="00FD65B2"/>
    <w:rsid w:val="00FD771B"/>
    <w:rsid w:val="00FE0365"/>
    <w:rsid w:val="00FE0EC5"/>
    <w:rsid w:val="00FE1CA8"/>
    <w:rsid w:val="00FE347B"/>
    <w:rsid w:val="00FE3A0C"/>
    <w:rsid w:val="00FE6CC6"/>
    <w:rsid w:val="00FF05C6"/>
    <w:rsid w:val="00FF1C61"/>
    <w:rsid w:val="00FF34B3"/>
    <w:rsid w:val="00FF3564"/>
    <w:rsid w:val="00FF4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814AD8-11CF-4427-8012-62FB7882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4A6D"/>
    <w:pPr>
      <w:keepNext/>
      <w:spacing w:after="0" w:line="240" w:lineRule="auto"/>
      <w:outlineLvl w:val="0"/>
    </w:pPr>
    <w:rPr>
      <w:rFonts w:ascii="Times New Roman" w:eastAsia="Times New Roman" w:hAnsi="Times New Roman" w:cs="Times New Roman"/>
      <w:sz w:val="44"/>
      <w:szCs w:val="24"/>
    </w:rPr>
  </w:style>
  <w:style w:type="paragraph" w:styleId="Heading2">
    <w:name w:val="heading 2"/>
    <w:basedOn w:val="Normal"/>
    <w:next w:val="Normal"/>
    <w:link w:val="Heading2Char"/>
    <w:uiPriority w:val="9"/>
    <w:semiHidden/>
    <w:unhideWhenUsed/>
    <w:qFormat/>
    <w:rsid w:val="00A477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24A6D"/>
    <w:pPr>
      <w:keepNext/>
      <w:spacing w:after="0" w:line="240" w:lineRule="auto"/>
      <w:outlineLvl w:val="2"/>
    </w:pPr>
    <w:rPr>
      <w:rFonts w:ascii="Times New Roman" w:eastAsia="Times New Roman" w:hAnsi="Times New Roman" w:cs="Times New Roman"/>
      <w:i/>
      <w:i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5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03C"/>
    <w:rPr>
      <w:rFonts w:ascii="Tahoma" w:hAnsi="Tahoma" w:cs="Tahoma"/>
      <w:sz w:val="16"/>
      <w:szCs w:val="16"/>
    </w:rPr>
  </w:style>
  <w:style w:type="paragraph" w:styleId="FootnoteText">
    <w:name w:val="footnote text"/>
    <w:basedOn w:val="Normal"/>
    <w:link w:val="FootnoteTextChar"/>
    <w:semiHidden/>
    <w:unhideWhenUsed/>
    <w:rsid w:val="007D7390"/>
    <w:pPr>
      <w:spacing w:after="0" w:line="240" w:lineRule="auto"/>
    </w:pPr>
    <w:rPr>
      <w:sz w:val="20"/>
      <w:szCs w:val="20"/>
    </w:rPr>
  </w:style>
  <w:style w:type="character" w:customStyle="1" w:styleId="FootnoteTextChar">
    <w:name w:val="Footnote Text Char"/>
    <w:basedOn w:val="DefaultParagraphFont"/>
    <w:link w:val="FootnoteText"/>
    <w:semiHidden/>
    <w:rsid w:val="007D7390"/>
    <w:rPr>
      <w:sz w:val="20"/>
      <w:szCs w:val="20"/>
    </w:rPr>
  </w:style>
  <w:style w:type="character" w:styleId="FootnoteReference">
    <w:name w:val="footnote reference"/>
    <w:basedOn w:val="DefaultParagraphFont"/>
    <w:semiHidden/>
    <w:unhideWhenUsed/>
    <w:rsid w:val="007D7390"/>
    <w:rPr>
      <w:vertAlign w:val="superscript"/>
    </w:rPr>
  </w:style>
  <w:style w:type="character" w:styleId="PageNumber">
    <w:name w:val="page number"/>
    <w:basedOn w:val="DefaultParagraphFont"/>
    <w:rsid w:val="002A524C"/>
  </w:style>
  <w:style w:type="paragraph" w:styleId="Footer">
    <w:name w:val="footer"/>
    <w:basedOn w:val="Normal"/>
    <w:link w:val="FooterChar"/>
    <w:uiPriority w:val="99"/>
    <w:rsid w:val="002A524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2A524C"/>
    <w:rPr>
      <w:rFonts w:ascii="Times New Roman" w:eastAsia="Times New Roman" w:hAnsi="Times New Roman" w:cs="Times New Roman"/>
      <w:sz w:val="24"/>
      <w:szCs w:val="20"/>
    </w:rPr>
  </w:style>
  <w:style w:type="paragraph" w:styleId="ListParagraph">
    <w:name w:val="List Paragraph"/>
    <w:basedOn w:val="Normal"/>
    <w:uiPriority w:val="34"/>
    <w:qFormat/>
    <w:rsid w:val="00BA548F"/>
    <w:pPr>
      <w:ind w:left="720"/>
      <w:contextualSpacing/>
    </w:pPr>
  </w:style>
  <w:style w:type="character" w:styleId="PlaceholderText">
    <w:name w:val="Placeholder Text"/>
    <w:basedOn w:val="DefaultParagraphFont"/>
    <w:uiPriority w:val="99"/>
    <w:semiHidden/>
    <w:rsid w:val="00921C99"/>
    <w:rPr>
      <w:color w:val="808080"/>
    </w:rPr>
  </w:style>
  <w:style w:type="paragraph" w:styleId="Header">
    <w:name w:val="header"/>
    <w:basedOn w:val="Normal"/>
    <w:link w:val="HeaderChar"/>
    <w:uiPriority w:val="99"/>
    <w:unhideWhenUsed/>
    <w:rsid w:val="0069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34C"/>
    <w:rPr>
      <w:rFonts w:eastAsiaTheme="minorEastAsia"/>
      <w:lang w:eastAsia="en-GB"/>
    </w:rPr>
  </w:style>
  <w:style w:type="character" w:customStyle="1" w:styleId="Heading1Char">
    <w:name w:val="Heading 1 Char"/>
    <w:basedOn w:val="DefaultParagraphFont"/>
    <w:link w:val="Heading1"/>
    <w:rsid w:val="00924A6D"/>
    <w:rPr>
      <w:rFonts w:ascii="Times New Roman" w:eastAsia="Times New Roman" w:hAnsi="Times New Roman" w:cs="Times New Roman"/>
      <w:sz w:val="44"/>
      <w:szCs w:val="24"/>
    </w:rPr>
  </w:style>
  <w:style w:type="character" w:customStyle="1" w:styleId="Heading3Char">
    <w:name w:val="Heading 3 Char"/>
    <w:basedOn w:val="DefaultParagraphFont"/>
    <w:link w:val="Heading3"/>
    <w:semiHidden/>
    <w:rsid w:val="00924A6D"/>
    <w:rPr>
      <w:rFonts w:ascii="Times New Roman" w:eastAsia="Times New Roman" w:hAnsi="Times New Roman" w:cs="Times New Roman"/>
      <w:i/>
      <w:iCs/>
      <w:sz w:val="44"/>
      <w:szCs w:val="24"/>
    </w:rPr>
  </w:style>
  <w:style w:type="character" w:styleId="CommentReference">
    <w:name w:val="annotation reference"/>
    <w:basedOn w:val="DefaultParagraphFont"/>
    <w:uiPriority w:val="99"/>
    <w:semiHidden/>
    <w:unhideWhenUsed/>
    <w:rsid w:val="00C34892"/>
    <w:rPr>
      <w:sz w:val="16"/>
      <w:szCs w:val="16"/>
    </w:rPr>
  </w:style>
  <w:style w:type="paragraph" w:styleId="CommentText">
    <w:name w:val="annotation text"/>
    <w:basedOn w:val="Normal"/>
    <w:link w:val="CommentTextChar"/>
    <w:uiPriority w:val="99"/>
    <w:semiHidden/>
    <w:unhideWhenUsed/>
    <w:rsid w:val="00C34892"/>
    <w:pPr>
      <w:spacing w:line="240" w:lineRule="auto"/>
    </w:pPr>
    <w:rPr>
      <w:sz w:val="20"/>
      <w:szCs w:val="20"/>
    </w:rPr>
  </w:style>
  <w:style w:type="character" w:customStyle="1" w:styleId="CommentTextChar">
    <w:name w:val="Comment Text Char"/>
    <w:basedOn w:val="DefaultParagraphFont"/>
    <w:link w:val="CommentText"/>
    <w:uiPriority w:val="99"/>
    <w:semiHidden/>
    <w:rsid w:val="00C34892"/>
    <w:rPr>
      <w:sz w:val="20"/>
      <w:szCs w:val="20"/>
    </w:rPr>
  </w:style>
  <w:style w:type="paragraph" w:styleId="CommentSubject">
    <w:name w:val="annotation subject"/>
    <w:basedOn w:val="CommentText"/>
    <w:next w:val="CommentText"/>
    <w:link w:val="CommentSubjectChar"/>
    <w:uiPriority w:val="99"/>
    <w:semiHidden/>
    <w:unhideWhenUsed/>
    <w:rsid w:val="00C34892"/>
    <w:rPr>
      <w:b/>
      <w:bCs/>
    </w:rPr>
  </w:style>
  <w:style w:type="character" w:customStyle="1" w:styleId="CommentSubjectChar">
    <w:name w:val="Comment Subject Char"/>
    <w:basedOn w:val="CommentTextChar"/>
    <w:link w:val="CommentSubject"/>
    <w:uiPriority w:val="99"/>
    <w:semiHidden/>
    <w:rsid w:val="00C34892"/>
    <w:rPr>
      <w:b/>
      <w:bCs/>
      <w:sz w:val="20"/>
      <w:szCs w:val="20"/>
    </w:rPr>
  </w:style>
  <w:style w:type="table" w:customStyle="1" w:styleId="TableGrid1">
    <w:name w:val="Table Grid1"/>
    <w:basedOn w:val="TableNormal"/>
    <w:next w:val="TableGrid"/>
    <w:uiPriority w:val="59"/>
    <w:rsid w:val="00BC28A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E648C1"/>
    <w:pPr>
      <w:spacing w:after="0" w:line="240" w:lineRule="auto"/>
    </w:pPr>
    <w:rPr>
      <w:sz w:val="20"/>
      <w:szCs w:val="20"/>
    </w:rPr>
  </w:style>
  <w:style w:type="character" w:customStyle="1" w:styleId="EndnoteTextChar">
    <w:name w:val="Endnote Text Char"/>
    <w:basedOn w:val="DefaultParagraphFont"/>
    <w:link w:val="EndnoteText"/>
    <w:uiPriority w:val="99"/>
    <w:rsid w:val="00E648C1"/>
    <w:rPr>
      <w:sz w:val="20"/>
      <w:szCs w:val="20"/>
    </w:rPr>
  </w:style>
  <w:style w:type="character" w:styleId="EndnoteReference">
    <w:name w:val="endnote reference"/>
    <w:basedOn w:val="DefaultParagraphFont"/>
    <w:uiPriority w:val="99"/>
    <w:unhideWhenUsed/>
    <w:rsid w:val="00E648C1"/>
    <w:rPr>
      <w:vertAlign w:val="superscript"/>
    </w:rPr>
  </w:style>
  <w:style w:type="paragraph" w:styleId="Revision">
    <w:name w:val="Revision"/>
    <w:hidden/>
    <w:uiPriority w:val="99"/>
    <w:semiHidden/>
    <w:rsid w:val="00BF4AEF"/>
    <w:pPr>
      <w:spacing w:after="0" w:line="240" w:lineRule="auto"/>
    </w:pPr>
  </w:style>
  <w:style w:type="character" w:customStyle="1" w:styleId="Heading2Char">
    <w:name w:val="Heading 2 Char"/>
    <w:basedOn w:val="DefaultParagraphFont"/>
    <w:link w:val="Heading2"/>
    <w:uiPriority w:val="9"/>
    <w:semiHidden/>
    <w:rsid w:val="00A4773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90625">
      <w:bodyDiv w:val="1"/>
      <w:marLeft w:val="0"/>
      <w:marRight w:val="0"/>
      <w:marTop w:val="0"/>
      <w:marBottom w:val="0"/>
      <w:divBdr>
        <w:top w:val="none" w:sz="0" w:space="0" w:color="auto"/>
        <w:left w:val="none" w:sz="0" w:space="0" w:color="auto"/>
        <w:bottom w:val="none" w:sz="0" w:space="0" w:color="auto"/>
        <w:right w:val="none" w:sz="0" w:space="0" w:color="auto"/>
      </w:divBdr>
    </w:div>
    <w:div w:id="1029259458">
      <w:bodyDiv w:val="1"/>
      <w:marLeft w:val="0"/>
      <w:marRight w:val="0"/>
      <w:marTop w:val="0"/>
      <w:marBottom w:val="0"/>
      <w:divBdr>
        <w:top w:val="none" w:sz="0" w:space="0" w:color="auto"/>
        <w:left w:val="none" w:sz="0" w:space="0" w:color="auto"/>
        <w:bottom w:val="none" w:sz="0" w:space="0" w:color="auto"/>
        <w:right w:val="none" w:sz="0" w:space="0" w:color="auto"/>
      </w:divBdr>
    </w:div>
    <w:div w:id="1283803664">
      <w:bodyDiv w:val="1"/>
      <w:marLeft w:val="0"/>
      <w:marRight w:val="0"/>
      <w:marTop w:val="0"/>
      <w:marBottom w:val="0"/>
      <w:divBdr>
        <w:top w:val="none" w:sz="0" w:space="0" w:color="auto"/>
        <w:left w:val="none" w:sz="0" w:space="0" w:color="auto"/>
        <w:bottom w:val="none" w:sz="0" w:space="0" w:color="auto"/>
        <w:right w:val="none" w:sz="0" w:space="0" w:color="auto"/>
      </w:divBdr>
    </w:div>
    <w:div w:id="1435899840">
      <w:bodyDiv w:val="1"/>
      <w:marLeft w:val="0"/>
      <w:marRight w:val="0"/>
      <w:marTop w:val="0"/>
      <w:marBottom w:val="0"/>
      <w:divBdr>
        <w:top w:val="none" w:sz="0" w:space="0" w:color="auto"/>
        <w:left w:val="none" w:sz="0" w:space="0" w:color="auto"/>
        <w:bottom w:val="none" w:sz="0" w:space="0" w:color="auto"/>
        <w:right w:val="none" w:sz="0" w:space="0" w:color="auto"/>
      </w:divBdr>
    </w:div>
    <w:div w:id="1555045266">
      <w:bodyDiv w:val="1"/>
      <w:marLeft w:val="0"/>
      <w:marRight w:val="0"/>
      <w:marTop w:val="0"/>
      <w:marBottom w:val="0"/>
      <w:divBdr>
        <w:top w:val="none" w:sz="0" w:space="0" w:color="auto"/>
        <w:left w:val="none" w:sz="0" w:space="0" w:color="auto"/>
        <w:bottom w:val="none" w:sz="0" w:space="0" w:color="auto"/>
        <w:right w:val="none" w:sz="0" w:space="0" w:color="auto"/>
      </w:divBdr>
    </w:div>
    <w:div w:id="1737240748">
      <w:bodyDiv w:val="1"/>
      <w:marLeft w:val="0"/>
      <w:marRight w:val="0"/>
      <w:marTop w:val="0"/>
      <w:marBottom w:val="0"/>
      <w:divBdr>
        <w:top w:val="none" w:sz="0" w:space="0" w:color="auto"/>
        <w:left w:val="none" w:sz="0" w:space="0" w:color="auto"/>
        <w:bottom w:val="none" w:sz="0" w:space="0" w:color="auto"/>
        <w:right w:val="none" w:sz="0" w:space="0" w:color="auto"/>
      </w:divBdr>
    </w:div>
    <w:div w:id="1794205378">
      <w:bodyDiv w:val="1"/>
      <w:marLeft w:val="0"/>
      <w:marRight w:val="0"/>
      <w:marTop w:val="0"/>
      <w:marBottom w:val="0"/>
      <w:divBdr>
        <w:top w:val="none" w:sz="0" w:space="0" w:color="auto"/>
        <w:left w:val="none" w:sz="0" w:space="0" w:color="auto"/>
        <w:bottom w:val="none" w:sz="0" w:space="0" w:color="auto"/>
        <w:right w:val="none" w:sz="0" w:space="0" w:color="auto"/>
      </w:divBdr>
    </w:div>
    <w:div w:id="1877352940">
      <w:bodyDiv w:val="1"/>
      <w:marLeft w:val="0"/>
      <w:marRight w:val="0"/>
      <w:marTop w:val="0"/>
      <w:marBottom w:val="0"/>
      <w:divBdr>
        <w:top w:val="none" w:sz="0" w:space="0" w:color="auto"/>
        <w:left w:val="none" w:sz="0" w:space="0" w:color="auto"/>
        <w:bottom w:val="none" w:sz="0" w:space="0" w:color="auto"/>
        <w:right w:val="none" w:sz="0" w:space="0" w:color="auto"/>
      </w:divBdr>
    </w:div>
    <w:div w:id="1903325477">
      <w:bodyDiv w:val="1"/>
      <w:marLeft w:val="0"/>
      <w:marRight w:val="0"/>
      <w:marTop w:val="0"/>
      <w:marBottom w:val="0"/>
      <w:divBdr>
        <w:top w:val="none" w:sz="0" w:space="0" w:color="auto"/>
        <w:left w:val="none" w:sz="0" w:space="0" w:color="auto"/>
        <w:bottom w:val="none" w:sz="0" w:space="0" w:color="auto"/>
        <w:right w:val="none" w:sz="0" w:space="0" w:color="auto"/>
      </w:divBdr>
    </w:div>
    <w:div w:id="1939361539">
      <w:bodyDiv w:val="1"/>
      <w:marLeft w:val="0"/>
      <w:marRight w:val="0"/>
      <w:marTop w:val="0"/>
      <w:marBottom w:val="0"/>
      <w:divBdr>
        <w:top w:val="none" w:sz="0" w:space="0" w:color="auto"/>
        <w:left w:val="none" w:sz="0" w:space="0" w:color="auto"/>
        <w:bottom w:val="none" w:sz="0" w:space="0" w:color="auto"/>
        <w:right w:val="none" w:sz="0" w:space="0" w:color="auto"/>
      </w:divBdr>
    </w:div>
    <w:div w:id="199865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6.png" Id="rId13" /><Relationship Type="http://schemas.openxmlformats.org/officeDocument/2006/relationships/image" Target="media/image11.png"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numbering" Target="numbering.xml" Id="rId2" /><Relationship Type="http://schemas.openxmlformats.org/officeDocument/2006/relationships/image" Target="media/image9.png" Id="rId16" /><Relationship Type="http://schemas.openxmlformats.org/officeDocument/2006/relationships/image" Target="media/image13.png"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theme" Target="theme/theme1.xml" Id="rId23" /><Relationship Type="http://schemas.openxmlformats.org/officeDocument/2006/relationships/image" Target="media/image3.png" Id="rId10" /><Relationship Type="http://schemas.openxmlformats.org/officeDocument/2006/relationships/image" Target="media/image12.png"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fontTable" Target="fontTable.xml" Id="rId22" /><Relationship Type="http://schemas.openxmlformats.org/officeDocument/2006/relationships/hyperlink" Target="http://cronfa.swan.ac.uk/Record/cronfa31847" TargetMode="External" Id="R63719c34ee35473a" /><Relationship Type="http://schemas.openxmlformats.org/officeDocument/2006/relationships/hyperlink" Target="http://dx.doi.org/10.1016/j.econmod.2017.01.011" TargetMode="External" Id="R91c08022e9df412b" /><Relationship Type="http://schemas.openxmlformats.org/officeDocument/2006/relationships/hyperlink" Target="http://www.swansea.ac.uk/iss/researchsupport/cronfa-support/ " TargetMode="External" Id="R55bd88bb7963455f" /><Relationship Type="http://schemas.openxmlformats.org/officeDocument/2006/relationships/image" Target="/media/image.jpg" Id="R8edc607122ba43bf"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54AE-7E41-470F-9475-02604D61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2603</TotalTime>
  <Pages>1</Pages>
  <Words>10365</Words>
  <Characters>59082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Wales Swansea</Company>
  <LinksUpToDate>false</LinksUpToDate>
  <CharactersWithSpaces>69309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dc:creator>
  <cp:lastModifiedBy>Oleary N.C.</cp:lastModifiedBy>
  <cp:revision>77</cp:revision>
  <cp:lastPrinted>2017-01-03T13:48:00Z</cp:lastPrinted>
  <dcterms:created xsi:type="dcterms:W3CDTF">2016-11-26T01:41:00Z</dcterms:created>
  <dcterms:modified xsi:type="dcterms:W3CDTF">2017-02-02T09:49:00Z</dcterms:modified>
</cp:coreProperties>
</file>